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F1602" w14:textId="77777777" w:rsidR="004719AC" w:rsidRDefault="00000000">
      <w:pPr>
        <w:spacing w:before="240"/>
        <w:ind w:left="140"/>
        <w:jc w:val="center"/>
        <w:rPr>
          <w:rFonts w:ascii="Aptos Light" w:eastAsia="Aptos Light" w:hAnsi="Aptos Light" w:cs="Aptos Light"/>
          <w:b/>
          <w:sz w:val="24"/>
          <w:szCs w:val="24"/>
        </w:rPr>
      </w:pPr>
      <w:r>
        <w:rPr>
          <w:rFonts w:ascii="Aptos Light" w:eastAsia="Aptos Light" w:hAnsi="Aptos Light" w:cs="Aptos Light"/>
          <w:b/>
          <w:sz w:val="24"/>
          <w:szCs w:val="24"/>
        </w:rPr>
        <w:t>CAPITOLATO D’ONERI</w:t>
      </w:r>
    </w:p>
    <w:p w14:paraId="306C0702" w14:textId="0DC2862E" w:rsidR="004719AC" w:rsidRDefault="00000000">
      <w:pPr>
        <w:spacing w:before="240"/>
        <w:jc w:val="both"/>
        <w:rPr>
          <w:rFonts w:ascii="Aptos Light" w:eastAsia="Aptos Light" w:hAnsi="Aptos Light" w:cs="Aptos Light"/>
          <w:b/>
          <w:sz w:val="24"/>
          <w:szCs w:val="24"/>
        </w:rPr>
      </w:pPr>
      <w:r>
        <w:rPr>
          <w:rFonts w:ascii="Aptos Light" w:eastAsia="Aptos Light" w:hAnsi="Aptos Light" w:cs="Aptos Light"/>
          <w:b/>
          <w:sz w:val="24"/>
          <w:szCs w:val="24"/>
        </w:rPr>
        <w:t xml:space="preserve">Oggetto: Affidamento in concessione di servizi della gestione della </w:t>
      </w:r>
      <w:r w:rsidR="00C707B3" w:rsidRPr="00C707B3">
        <w:rPr>
          <w:rFonts w:ascii="Aptos Light" w:eastAsia="Aptos Light" w:hAnsi="Aptos Light" w:cs="Aptos Light"/>
          <w:b/>
          <w:sz w:val="24"/>
          <w:szCs w:val="24"/>
        </w:rPr>
        <w:t xml:space="preserve">“Piscina Comprensoriale di Campomaggiore” </w:t>
      </w:r>
      <w:r>
        <w:rPr>
          <w:rFonts w:ascii="Aptos Light" w:eastAsia="Aptos Light" w:hAnsi="Aptos Light" w:cs="Aptos Light"/>
          <w:b/>
          <w:sz w:val="24"/>
          <w:szCs w:val="24"/>
        </w:rPr>
        <w:t>(CIG: …………………</w:t>
      </w:r>
      <w:proofErr w:type="gramStart"/>
      <w:r>
        <w:rPr>
          <w:rFonts w:ascii="Aptos Light" w:eastAsia="Aptos Light" w:hAnsi="Aptos Light" w:cs="Aptos Light"/>
          <w:b/>
          <w:sz w:val="24"/>
          <w:szCs w:val="24"/>
        </w:rPr>
        <w:t>…….</w:t>
      </w:r>
      <w:proofErr w:type="gramEnd"/>
      <w:r>
        <w:rPr>
          <w:rFonts w:ascii="Aptos Light" w:eastAsia="Aptos Light" w:hAnsi="Aptos Light" w:cs="Aptos Light"/>
          <w:b/>
          <w:sz w:val="24"/>
          <w:szCs w:val="24"/>
        </w:rPr>
        <w:t>).</w:t>
      </w:r>
    </w:p>
    <w:p w14:paraId="3B55A35E" w14:textId="77777777" w:rsidR="004719AC" w:rsidRDefault="00000000">
      <w:pPr>
        <w:spacing w:before="240"/>
        <w:jc w:val="both"/>
        <w:rPr>
          <w:rFonts w:ascii="Aptos Light" w:eastAsia="Aptos Light" w:hAnsi="Aptos Light" w:cs="Aptos Light"/>
          <w:b/>
          <w:sz w:val="24"/>
          <w:szCs w:val="24"/>
        </w:rPr>
      </w:pPr>
      <w:r>
        <w:rPr>
          <w:rFonts w:ascii="Aptos Light" w:eastAsia="Aptos Light" w:hAnsi="Aptos Light" w:cs="Aptos Light"/>
          <w:b/>
          <w:sz w:val="24"/>
          <w:szCs w:val="24"/>
        </w:rPr>
        <w:t>Art. 1 - Oggetto della concessione</w:t>
      </w:r>
    </w:p>
    <w:p w14:paraId="5F6921DA" w14:textId="77777777" w:rsidR="004719AC" w:rsidRDefault="00000000">
      <w:pPr>
        <w:pBdr>
          <w:top w:val="nil"/>
          <w:left w:val="nil"/>
          <w:bottom w:val="nil"/>
          <w:right w:val="nil"/>
          <w:between w:val="nil"/>
        </w:pBdr>
        <w:spacing w:before="24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1.1 Oggetto della concessione:</w:t>
      </w:r>
    </w:p>
    <w:p w14:paraId="5F44A27A" w14:textId="77777777" w:rsidR="004719AC" w:rsidRDefault="00000000">
      <w:pPr>
        <w:numPr>
          <w:ilvl w:val="0"/>
          <w:numId w:val="2"/>
        </w:numPr>
        <w:pBdr>
          <w:top w:val="nil"/>
          <w:left w:val="nil"/>
          <w:bottom w:val="nil"/>
          <w:right w:val="nil"/>
          <w:between w:val="nil"/>
        </w:pBdr>
        <w:tabs>
          <w:tab w:val="left" w:pos="1002"/>
        </w:tabs>
        <w:spacing w:before="240"/>
        <w:ind w:left="0" w:right="280" w:firstLine="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il bene immobile consistente nell’impianto natatorio e sue pertinenze;</w:t>
      </w:r>
    </w:p>
    <w:p w14:paraId="671A0CF1" w14:textId="77777777" w:rsidR="004719AC" w:rsidRDefault="00000000">
      <w:pPr>
        <w:numPr>
          <w:ilvl w:val="0"/>
          <w:numId w:val="2"/>
        </w:numPr>
        <w:pBdr>
          <w:top w:val="nil"/>
          <w:left w:val="nil"/>
          <w:bottom w:val="nil"/>
          <w:right w:val="nil"/>
          <w:between w:val="nil"/>
        </w:pBdr>
        <w:tabs>
          <w:tab w:val="left" w:pos="999"/>
        </w:tabs>
        <w:spacing w:before="240"/>
        <w:ind w:left="0" w:firstLine="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 gestione dei servizi da erogare all’interno del suddetto impianto sportivo.</w:t>
      </w:r>
    </w:p>
    <w:p w14:paraId="6D6F6598" w14:textId="77777777" w:rsidR="004719AC" w:rsidRDefault="004719AC">
      <w:pPr>
        <w:pStyle w:val="Titolo1"/>
        <w:ind w:left="0"/>
        <w:jc w:val="both"/>
        <w:rPr>
          <w:rFonts w:ascii="Aptos Light" w:eastAsia="Aptos Light" w:hAnsi="Aptos Light" w:cs="Aptos Light"/>
          <w:b w:val="0"/>
        </w:rPr>
      </w:pPr>
    </w:p>
    <w:p w14:paraId="65997592" w14:textId="77777777" w:rsidR="004719AC" w:rsidRDefault="00000000">
      <w:pPr>
        <w:pStyle w:val="Titolo1"/>
        <w:ind w:left="0"/>
        <w:jc w:val="both"/>
        <w:rPr>
          <w:rFonts w:ascii="Aptos Light" w:eastAsia="Aptos Light" w:hAnsi="Aptos Light" w:cs="Aptos Light"/>
        </w:rPr>
      </w:pPr>
      <w:r>
        <w:rPr>
          <w:rFonts w:ascii="Aptos Light" w:eastAsia="Aptos Light" w:hAnsi="Aptos Light" w:cs="Aptos Light"/>
          <w:b w:val="0"/>
        </w:rPr>
        <w:t>1.2 Individuazione dell’immobile</w:t>
      </w:r>
      <w:r>
        <w:rPr>
          <w:rFonts w:ascii="Aptos Light" w:eastAsia="Aptos Light" w:hAnsi="Aptos Light" w:cs="Aptos Light"/>
        </w:rPr>
        <w:t>:</w:t>
      </w:r>
    </w:p>
    <w:p w14:paraId="4B405DE5" w14:textId="77777777" w:rsidR="004719AC" w:rsidRDefault="00000000">
      <w:pPr>
        <w:widowControl/>
        <w:spacing w:before="163"/>
        <w:jc w:val="both"/>
        <w:rPr>
          <w:rFonts w:ascii="Aptos Light" w:eastAsia="Aptos Light" w:hAnsi="Aptos Light" w:cs="Aptos Light"/>
          <w:sz w:val="24"/>
          <w:szCs w:val="24"/>
        </w:rPr>
      </w:pPr>
      <w:r>
        <w:rPr>
          <w:rFonts w:ascii="Aptos Light" w:eastAsia="Aptos Light" w:hAnsi="Aptos Light" w:cs="Aptos Light"/>
          <w:sz w:val="24"/>
          <w:szCs w:val="24"/>
        </w:rPr>
        <w:t>Denominazione: Piscina Coperta di Campomaggiore</w:t>
      </w:r>
    </w:p>
    <w:p w14:paraId="7F5EFDB1" w14:textId="77777777" w:rsidR="004719AC" w:rsidRDefault="00000000">
      <w:pPr>
        <w:widowControl/>
        <w:spacing w:before="163"/>
        <w:jc w:val="both"/>
        <w:rPr>
          <w:rFonts w:ascii="Aptos Light" w:eastAsia="Aptos Light" w:hAnsi="Aptos Light" w:cs="Aptos Light"/>
          <w:sz w:val="24"/>
          <w:szCs w:val="24"/>
        </w:rPr>
      </w:pPr>
      <w:r>
        <w:rPr>
          <w:rFonts w:ascii="Aptos Light" w:eastAsia="Aptos Light" w:hAnsi="Aptos Light" w:cs="Aptos Light"/>
          <w:sz w:val="24"/>
          <w:szCs w:val="24"/>
        </w:rPr>
        <w:t>Ubicazione: Area PIP – Comune di Campomaggiore (PZ)</w:t>
      </w:r>
    </w:p>
    <w:p w14:paraId="7A3777E4" w14:textId="77777777" w:rsidR="004719AC" w:rsidRDefault="00000000">
      <w:pPr>
        <w:widowControl/>
        <w:spacing w:before="163"/>
        <w:jc w:val="both"/>
        <w:rPr>
          <w:rFonts w:ascii="Aptos Light" w:eastAsia="Aptos Light" w:hAnsi="Aptos Light" w:cs="Aptos Light"/>
          <w:sz w:val="24"/>
          <w:szCs w:val="24"/>
        </w:rPr>
      </w:pPr>
      <w:r>
        <w:rPr>
          <w:rFonts w:ascii="Aptos Light" w:eastAsia="Aptos Light" w:hAnsi="Aptos Light" w:cs="Aptos Light"/>
          <w:sz w:val="24"/>
          <w:szCs w:val="24"/>
        </w:rPr>
        <w:t>Identificazione catastale: Foglio 8, Particella 792, Categoria D/6, rendita catastale € 19.592,50</w:t>
      </w:r>
    </w:p>
    <w:p w14:paraId="3CFF6B20" w14:textId="77777777" w:rsidR="004719AC" w:rsidRDefault="00000000">
      <w:pPr>
        <w:widowControl/>
        <w:spacing w:before="163"/>
        <w:jc w:val="both"/>
        <w:rPr>
          <w:rFonts w:ascii="Aptos Light" w:eastAsia="Aptos Light" w:hAnsi="Aptos Light" w:cs="Aptos Light"/>
          <w:sz w:val="24"/>
          <w:szCs w:val="24"/>
        </w:rPr>
      </w:pPr>
      <w:r>
        <w:rPr>
          <w:rFonts w:ascii="Aptos Light" w:eastAsia="Aptos Light" w:hAnsi="Aptos Light" w:cs="Aptos Light"/>
          <w:sz w:val="24"/>
          <w:szCs w:val="24"/>
        </w:rPr>
        <w:t>Estensione complessiva: mq. 5.996 (mq. 1.667 coperti – fabbricati, mq. 4.329 pertinenze scoperte, mq. 140 locali tecnici interrati)</w:t>
      </w:r>
    </w:p>
    <w:p w14:paraId="2DBD89DC" w14:textId="77777777" w:rsidR="004719AC" w:rsidRDefault="00000000">
      <w:pPr>
        <w:widowControl/>
        <w:spacing w:before="163"/>
        <w:jc w:val="both"/>
        <w:rPr>
          <w:rFonts w:ascii="Aptos Light" w:eastAsia="Aptos Light" w:hAnsi="Aptos Light" w:cs="Aptos Light"/>
          <w:sz w:val="24"/>
          <w:szCs w:val="24"/>
        </w:rPr>
      </w:pPr>
      <w:r>
        <w:rPr>
          <w:rFonts w:ascii="Aptos Light" w:eastAsia="Aptos Light" w:hAnsi="Aptos Light" w:cs="Aptos Light"/>
          <w:sz w:val="24"/>
          <w:szCs w:val="24"/>
        </w:rPr>
        <w:t>Titolo di proprietà: Regione Basilicata – Decreto del Presidente della Giunta Regionale (DPGR) N. 202400051 del 4 marzo 2024</w:t>
      </w:r>
    </w:p>
    <w:p w14:paraId="5B5E9197" w14:textId="77777777" w:rsidR="004719AC" w:rsidRDefault="004719AC"/>
    <w:p w14:paraId="5604316F" w14:textId="77777777" w:rsidR="004719AC" w:rsidRDefault="00000000">
      <w:pPr>
        <w:pStyle w:val="Titolo1"/>
        <w:spacing w:before="240"/>
        <w:ind w:left="0"/>
        <w:jc w:val="both"/>
        <w:rPr>
          <w:rFonts w:ascii="Aptos Light" w:eastAsia="Aptos Light" w:hAnsi="Aptos Light" w:cs="Aptos Light"/>
          <w:b w:val="0"/>
        </w:rPr>
      </w:pPr>
      <w:r>
        <w:rPr>
          <w:rFonts w:ascii="Aptos Light" w:eastAsia="Aptos Light" w:hAnsi="Aptos Light" w:cs="Aptos Light"/>
          <w:b w:val="0"/>
        </w:rPr>
        <w:t>1.3 Descrizione degli ambienti e dei locali:</w:t>
      </w:r>
    </w:p>
    <w:p w14:paraId="79E95885" w14:textId="77777777" w:rsidR="004719AC" w:rsidRDefault="00000000">
      <w:pPr>
        <w:spacing w:before="240"/>
        <w:jc w:val="both"/>
        <w:rPr>
          <w:rFonts w:ascii="Aptos Light" w:eastAsia="Aptos Light" w:hAnsi="Aptos Light" w:cs="Aptos Light"/>
          <w:b/>
          <w:sz w:val="24"/>
          <w:szCs w:val="24"/>
          <w:u w:val="single"/>
        </w:rPr>
      </w:pPr>
      <w:r>
        <w:rPr>
          <w:rFonts w:ascii="Aptos Light" w:eastAsia="Aptos Light" w:hAnsi="Aptos Light" w:cs="Aptos Light"/>
          <w:sz w:val="24"/>
          <w:szCs w:val="24"/>
        </w:rPr>
        <w:t xml:space="preserve">    </w:t>
      </w:r>
      <w:r>
        <w:rPr>
          <w:rFonts w:ascii="Aptos Light" w:eastAsia="Aptos Light" w:hAnsi="Aptos Light" w:cs="Aptos Light"/>
          <w:sz w:val="24"/>
          <w:szCs w:val="24"/>
        </w:rPr>
        <w:tab/>
        <w:t>1.3.1 Locali ed ambienti</w:t>
      </w:r>
    </w:p>
    <w:p w14:paraId="07F5E76C" w14:textId="77777777" w:rsidR="004719AC" w:rsidRDefault="00000000">
      <w:pPr>
        <w:spacing w:before="240"/>
        <w:jc w:val="both"/>
        <w:rPr>
          <w:rFonts w:ascii="Aptos Light" w:eastAsia="Aptos Light" w:hAnsi="Aptos Light" w:cs="Aptos Light"/>
          <w:sz w:val="24"/>
          <w:szCs w:val="24"/>
        </w:rPr>
      </w:pPr>
      <w:r>
        <w:rPr>
          <w:rFonts w:ascii="Aptos Light" w:eastAsia="Aptos Light" w:hAnsi="Aptos Light" w:cs="Aptos Light"/>
          <w:sz w:val="24"/>
          <w:szCs w:val="24"/>
        </w:rPr>
        <w:t>L’immobile risulta così suddiviso:</w:t>
      </w:r>
    </w:p>
    <w:p w14:paraId="7FBBCC82" w14:textId="77777777" w:rsidR="004719AC" w:rsidRDefault="00000000">
      <w:pPr>
        <w:spacing w:before="240"/>
        <w:jc w:val="both"/>
        <w:rPr>
          <w:rFonts w:ascii="Aptos Light" w:eastAsia="Aptos Light" w:hAnsi="Aptos Light" w:cs="Aptos Light"/>
          <w:sz w:val="24"/>
          <w:szCs w:val="24"/>
        </w:rPr>
      </w:pPr>
      <w:r>
        <w:rPr>
          <w:rFonts w:ascii="Aptos Light" w:eastAsia="Aptos Light" w:hAnsi="Aptos Light" w:cs="Aptos Light"/>
          <w:sz w:val="24"/>
          <w:szCs w:val="24"/>
        </w:rPr>
        <w:t>Vani tecnologici interrati con struttura in c.a. adibiti a Locale filtri, Vasca di recupero e Serbatoio idrico;</w:t>
      </w:r>
    </w:p>
    <w:p w14:paraId="62A192DB" w14:textId="77777777" w:rsidR="004719AC" w:rsidRDefault="00000000">
      <w:pPr>
        <w:spacing w:before="240"/>
        <w:jc w:val="both"/>
        <w:rPr>
          <w:rFonts w:ascii="Aptos Light" w:eastAsia="Aptos Light" w:hAnsi="Aptos Light" w:cs="Aptos Light"/>
          <w:sz w:val="24"/>
          <w:szCs w:val="24"/>
        </w:rPr>
      </w:pPr>
      <w:r>
        <w:rPr>
          <w:rFonts w:ascii="Aptos Light" w:eastAsia="Aptos Light" w:hAnsi="Aptos Light" w:cs="Aptos Light"/>
          <w:sz w:val="24"/>
          <w:szCs w:val="24"/>
        </w:rPr>
        <w:t>Zona vasche al Piano Terra in struttura prefabbricata con una vasca natatoria delle dimensioni di metri 12,50x25,00 e una vasca prenatatoria delle dimensioni di metri 6,00x12,50;</w:t>
      </w:r>
    </w:p>
    <w:p w14:paraId="6B8BD0AB" w14:textId="77777777" w:rsidR="004719AC" w:rsidRDefault="00000000">
      <w:pPr>
        <w:spacing w:before="240"/>
        <w:jc w:val="both"/>
        <w:rPr>
          <w:rFonts w:ascii="Aptos Light" w:eastAsia="Aptos Light" w:hAnsi="Aptos Light" w:cs="Aptos Light"/>
          <w:sz w:val="24"/>
          <w:szCs w:val="24"/>
        </w:rPr>
      </w:pPr>
      <w:r>
        <w:rPr>
          <w:rFonts w:ascii="Aptos Light" w:eastAsia="Aptos Light" w:hAnsi="Aptos Light" w:cs="Aptos Light"/>
          <w:sz w:val="24"/>
          <w:szCs w:val="24"/>
        </w:rPr>
        <w:t>Zona spogliatoi, accoglienza, uffici e servizi posta al Piano Terra con struttura in c.a.;</w:t>
      </w:r>
    </w:p>
    <w:p w14:paraId="6DD12CA6" w14:textId="77777777" w:rsidR="004719AC" w:rsidRDefault="00000000">
      <w:pPr>
        <w:spacing w:before="240"/>
        <w:jc w:val="both"/>
        <w:rPr>
          <w:rFonts w:ascii="Aptos Light" w:eastAsia="Aptos Light" w:hAnsi="Aptos Light" w:cs="Aptos Light"/>
          <w:sz w:val="24"/>
          <w:szCs w:val="24"/>
        </w:rPr>
      </w:pPr>
      <w:r>
        <w:rPr>
          <w:rFonts w:ascii="Aptos Light" w:eastAsia="Aptos Light" w:hAnsi="Aptos Light" w:cs="Aptos Light"/>
          <w:sz w:val="24"/>
          <w:szCs w:val="24"/>
        </w:rPr>
        <w:t>Solarium di mq. 514 pavimentato in pietra locale con collegamento diretto alle vasche.</w:t>
      </w:r>
    </w:p>
    <w:p w14:paraId="0CAAD851" w14:textId="77777777" w:rsidR="004719AC" w:rsidRDefault="00000000">
      <w:pPr>
        <w:spacing w:before="240"/>
        <w:jc w:val="both"/>
        <w:rPr>
          <w:rFonts w:ascii="Aptos Light" w:eastAsia="Aptos Light" w:hAnsi="Aptos Light" w:cs="Aptos Light"/>
          <w:sz w:val="24"/>
          <w:szCs w:val="24"/>
        </w:rPr>
      </w:pPr>
      <w:r>
        <w:rPr>
          <w:rFonts w:ascii="Aptos Light" w:eastAsia="Aptos Light" w:hAnsi="Aptos Light" w:cs="Aptos Light"/>
          <w:sz w:val="24"/>
          <w:szCs w:val="24"/>
        </w:rPr>
        <w:t xml:space="preserve"> </w:t>
      </w:r>
    </w:p>
    <w:p w14:paraId="11394038" w14:textId="77777777" w:rsidR="004719AC" w:rsidRDefault="00000000">
      <w:pPr>
        <w:spacing w:before="240"/>
        <w:ind w:firstLine="720"/>
        <w:jc w:val="both"/>
        <w:rPr>
          <w:rFonts w:ascii="Aptos Light" w:eastAsia="Aptos Light" w:hAnsi="Aptos Light" w:cs="Aptos Light"/>
          <w:sz w:val="24"/>
          <w:szCs w:val="24"/>
        </w:rPr>
      </w:pPr>
      <w:r>
        <w:rPr>
          <w:rFonts w:ascii="Aptos Light" w:eastAsia="Aptos Light" w:hAnsi="Aptos Light" w:cs="Aptos Light"/>
          <w:sz w:val="24"/>
          <w:szCs w:val="24"/>
        </w:rPr>
        <w:t>1.3.2 Riepilogo superfici ed ambienti</w:t>
      </w:r>
    </w:p>
    <w:p w14:paraId="5C615EF0" w14:textId="77777777" w:rsidR="004719AC" w:rsidRDefault="00000000">
      <w:pPr>
        <w:spacing w:before="240"/>
        <w:jc w:val="both"/>
        <w:rPr>
          <w:rFonts w:ascii="Aptos Light" w:eastAsia="Aptos Light" w:hAnsi="Aptos Light" w:cs="Aptos Light"/>
          <w:sz w:val="24"/>
          <w:szCs w:val="24"/>
        </w:rPr>
      </w:pPr>
      <w:r>
        <w:rPr>
          <w:rFonts w:ascii="Aptos Light" w:eastAsia="Aptos Light" w:hAnsi="Aptos Light" w:cs="Aptos Light"/>
          <w:sz w:val="24"/>
          <w:szCs w:val="24"/>
        </w:rPr>
        <w:t>Superfici utili piscina piano terra:</w:t>
      </w:r>
    </w:p>
    <w:p w14:paraId="1E83F8AD" w14:textId="77777777" w:rsidR="004719AC" w:rsidRDefault="00000000">
      <w:pPr>
        <w:spacing w:before="240"/>
        <w:jc w:val="both"/>
        <w:rPr>
          <w:rFonts w:ascii="Aptos Light" w:eastAsia="Aptos Light" w:hAnsi="Aptos Light" w:cs="Aptos Light"/>
          <w:sz w:val="24"/>
          <w:szCs w:val="24"/>
        </w:rPr>
      </w:pPr>
      <w:proofErr w:type="gramStart"/>
      <w:r>
        <w:rPr>
          <w:rFonts w:ascii="Aptos Light" w:eastAsia="Aptos Light" w:hAnsi="Aptos Light" w:cs="Aptos Light"/>
          <w:sz w:val="24"/>
          <w:szCs w:val="24"/>
        </w:rPr>
        <w:t>§  RECEPTION</w:t>
      </w:r>
      <w:proofErr w:type="gramEnd"/>
      <w:r>
        <w:rPr>
          <w:rFonts w:ascii="Aptos Light" w:eastAsia="Aptos Light" w:hAnsi="Aptos Light" w:cs="Aptos Light"/>
          <w:sz w:val="24"/>
          <w:szCs w:val="24"/>
        </w:rPr>
        <w:tab/>
        <w:t xml:space="preserve">mq.   </w:t>
      </w:r>
      <w:r>
        <w:rPr>
          <w:rFonts w:ascii="Aptos Light" w:eastAsia="Aptos Light" w:hAnsi="Aptos Light" w:cs="Aptos Light"/>
          <w:sz w:val="24"/>
          <w:szCs w:val="24"/>
        </w:rPr>
        <w:tab/>
        <w:t>53,10</w:t>
      </w:r>
    </w:p>
    <w:p w14:paraId="47E7D65F" w14:textId="77777777" w:rsidR="004719AC" w:rsidRDefault="00000000">
      <w:pPr>
        <w:spacing w:before="240"/>
        <w:jc w:val="both"/>
        <w:rPr>
          <w:rFonts w:ascii="Aptos Light" w:eastAsia="Aptos Light" w:hAnsi="Aptos Light" w:cs="Aptos Light"/>
          <w:sz w:val="24"/>
          <w:szCs w:val="24"/>
        </w:rPr>
      </w:pPr>
      <w:proofErr w:type="gramStart"/>
      <w:r>
        <w:rPr>
          <w:rFonts w:ascii="Aptos Light" w:eastAsia="Aptos Light" w:hAnsi="Aptos Light" w:cs="Aptos Light"/>
          <w:sz w:val="24"/>
          <w:szCs w:val="24"/>
        </w:rPr>
        <w:lastRenderedPageBreak/>
        <w:t>§  INFERMERIA</w:t>
      </w:r>
      <w:proofErr w:type="gramEnd"/>
      <w:r>
        <w:rPr>
          <w:rFonts w:ascii="Aptos Light" w:eastAsia="Aptos Light" w:hAnsi="Aptos Light" w:cs="Aptos Light"/>
          <w:sz w:val="24"/>
          <w:szCs w:val="24"/>
        </w:rPr>
        <w:t xml:space="preserve">  mq.   </w:t>
      </w:r>
      <w:r>
        <w:rPr>
          <w:rFonts w:ascii="Aptos Light" w:eastAsia="Aptos Light" w:hAnsi="Aptos Light" w:cs="Aptos Light"/>
          <w:sz w:val="24"/>
          <w:szCs w:val="24"/>
        </w:rPr>
        <w:tab/>
        <w:t>11,59</w:t>
      </w:r>
    </w:p>
    <w:p w14:paraId="2417C5F7" w14:textId="77777777" w:rsidR="004719AC" w:rsidRDefault="00000000">
      <w:pPr>
        <w:spacing w:before="240"/>
        <w:jc w:val="both"/>
        <w:rPr>
          <w:rFonts w:ascii="Aptos Light" w:eastAsia="Aptos Light" w:hAnsi="Aptos Light" w:cs="Aptos Light"/>
          <w:sz w:val="24"/>
          <w:szCs w:val="24"/>
        </w:rPr>
      </w:pPr>
      <w:proofErr w:type="gramStart"/>
      <w:r>
        <w:rPr>
          <w:rFonts w:ascii="Aptos Light" w:eastAsia="Aptos Light" w:hAnsi="Aptos Light" w:cs="Aptos Light"/>
          <w:sz w:val="24"/>
          <w:szCs w:val="24"/>
        </w:rPr>
        <w:t>§  DISIMPEGNO</w:t>
      </w:r>
      <w:proofErr w:type="gramEnd"/>
      <w:r>
        <w:rPr>
          <w:rFonts w:ascii="Aptos Light" w:eastAsia="Aptos Light" w:hAnsi="Aptos Light" w:cs="Aptos Light"/>
          <w:sz w:val="24"/>
          <w:szCs w:val="24"/>
        </w:rPr>
        <w:t xml:space="preserve"> mq.   </w:t>
      </w:r>
      <w:r>
        <w:rPr>
          <w:rFonts w:ascii="Aptos Light" w:eastAsia="Aptos Light" w:hAnsi="Aptos Light" w:cs="Aptos Light"/>
          <w:sz w:val="24"/>
          <w:szCs w:val="24"/>
        </w:rPr>
        <w:tab/>
        <w:t>47,44</w:t>
      </w:r>
    </w:p>
    <w:p w14:paraId="3F126B33" w14:textId="77777777" w:rsidR="004719AC" w:rsidRDefault="00000000">
      <w:pPr>
        <w:spacing w:before="240"/>
        <w:jc w:val="both"/>
        <w:rPr>
          <w:rFonts w:ascii="Aptos Light" w:eastAsia="Aptos Light" w:hAnsi="Aptos Light" w:cs="Aptos Light"/>
          <w:sz w:val="24"/>
          <w:szCs w:val="24"/>
        </w:rPr>
      </w:pPr>
      <w:proofErr w:type="gramStart"/>
      <w:r>
        <w:rPr>
          <w:rFonts w:ascii="Aptos Light" w:eastAsia="Aptos Light" w:hAnsi="Aptos Light" w:cs="Aptos Light"/>
          <w:sz w:val="24"/>
          <w:szCs w:val="24"/>
        </w:rPr>
        <w:t>§  SALA</w:t>
      </w:r>
      <w:proofErr w:type="gramEnd"/>
      <w:r>
        <w:rPr>
          <w:rFonts w:ascii="Aptos Light" w:eastAsia="Aptos Light" w:hAnsi="Aptos Light" w:cs="Aptos Light"/>
          <w:sz w:val="24"/>
          <w:szCs w:val="24"/>
        </w:rPr>
        <w:t xml:space="preserve"> PESI    </w:t>
      </w:r>
      <w:r>
        <w:rPr>
          <w:rFonts w:ascii="Aptos Light" w:eastAsia="Aptos Light" w:hAnsi="Aptos Light" w:cs="Aptos Light"/>
          <w:sz w:val="24"/>
          <w:szCs w:val="24"/>
        </w:rPr>
        <w:tab/>
        <w:t xml:space="preserve">mq.   </w:t>
      </w:r>
      <w:r>
        <w:rPr>
          <w:rFonts w:ascii="Aptos Light" w:eastAsia="Aptos Light" w:hAnsi="Aptos Light" w:cs="Aptos Light"/>
          <w:sz w:val="24"/>
          <w:szCs w:val="24"/>
        </w:rPr>
        <w:tab/>
        <w:t>36,83</w:t>
      </w:r>
    </w:p>
    <w:p w14:paraId="40A74E88" w14:textId="77777777" w:rsidR="004719AC" w:rsidRDefault="00000000">
      <w:pPr>
        <w:spacing w:before="240"/>
        <w:jc w:val="both"/>
        <w:rPr>
          <w:rFonts w:ascii="Aptos Light" w:eastAsia="Aptos Light" w:hAnsi="Aptos Light" w:cs="Aptos Light"/>
          <w:sz w:val="24"/>
          <w:szCs w:val="24"/>
        </w:rPr>
      </w:pPr>
      <w:proofErr w:type="gramStart"/>
      <w:r>
        <w:rPr>
          <w:rFonts w:ascii="Aptos Light" w:eastAsia="Aptos Light" w:hAnsi="Aptos Light" w:cs="Aptos Light"/>
          <w:sz w:val="24"/>
          <w:szCs w:val="24"/>
        </w:rPr>
        <w:t>§  SPOGLIATOIO</w:t>
      </w:r>
      <w:proofErr w:type="gramEnd"/>
      <w:r>
        <w:rPr>
          <w:rFonts w:ascii="Aptos Light" w:eastAsia="Aptos Light" w:hAnsi="Aptos Light" w:cs="Aptos Light"/>
          <w:sz w:val="24"/>
          <w:szCs w:val="24"/>
        </w:rPr>
        <w:t xml:space="preserve"> MASCHILE </w:t>
      </w:r>
      <w:r>
        <w:rPr>
          <w:rFonts w:ascii="Aptos Light" w:eastAsia="Aptos Light" w:hAnsi="Aptos Light" w:cs="Aptos Light"/>
          <w:sz w:val="24"/>
          <w:szCs w:val="24"/>
        </w:rPr>
        <w:tab/>
        <w:t xml:space="preserve">mq.   </w:t>
      </w:r>
      <w:r>
        <w:rPr>
          <w:rFonts w:ascii="Aptos Light" w:eastAsia="Aptos Light" w:hAnsi="Aptos Light" w:cs="Aptos Light"/>
          <w:sz w:val="24"/>
          <w:szCs w:val="24"/>
        </w:rPr>
        <w:tab/>
        <w:t>48,06</w:t>
      </w:r>
    </w:p>
    <w:p w14:paraId="6D7C8A6D" w14:textId="77777777" w:rsidR="004719AC" w:rsidRDefault="00000000">
      <w:pPr>
        <w:spacing w:before="240"/>
        <w:jc w:val="both"/>
        <w:rPr>
          <w:rFonts w:ascii="Aptos Light" w:eastAsia="Aptos Light" w:hAnsi="Aptos Light" w:cs="Aptos Light"/>
          <w:sz w:val="24"/>
          <w:szCs w:val="24"/>
        </w:rPr>
      </w:pPr>
      <w:proofErr w:type="gramStart"/>
      <w:r>
        <w:rPr>
          <w:rFonts w:ascii="Aptos Light" w:eastAsia="Aptos Light" w:hAnsi="Aptos Light" w:cs="Aptos Light"/>
          <w:sz w:val="24"/>
          <w:szCs w:val="24"/>
        </w:rPr>
        <w:t>§  DOCCE</w:t>
      </w:r>
      <w:proofErr w:type="gramEnd"/>
      <w:r>
        <w:rPr>
          <w:rFonts w:ascii="Aptos Light" w:eastAsia="Aptos Light" w:hAnsi="Aptos Light" w:cs="Aptos Light"/>
          <w:sz w:val="24"/>
          <w:szCs w:val="24"/>
        </w:rPr>
        <w:t xml:space="preserve"> MASCHI     </w:t>
      </w:r>
      <w:r>
        <w:rPr>
          <w:rFonts w:ascii="Aptos Light" w:eastAsia="Aptos Light" w:hAnsi="Aptos Light" w:cs="Aptos Light"/>
          <w:sz w:val="24"/>
          <w:szCs w:val="24"/>
        </w:rPr>
        <w:tab/>
        <w:t xml:space="preserve">mq.   </w:t>
      </w:r>
      <w:r>
        <w:rPr>
          <w:rFonts w:ascii="Aptos Light" w:eastAsia="Aptos Light" w:hAnsi="Aptos Light" w:cs="Aptos Light"/>
          <w:sz w:val="24"/>
          <w:szCs w:val="24"/>
        </w:rPr>
        <w:tab/>
        <w:t>42,96</w:t>
      </w:r>
    </w:p>
    <w:p w14:paraId="5DD75B53" w14:textId="77777777" w:rsidR="004719AC" w:rsidRDefault="00000000">
      <w:pPr>
        <w:spacing w:before="240"/>
        <w:jc w:val="both"/>
        <w:rPr>
          <w:rFonts w:ascii="Aptos Light" w:eastAsia="Aptos Light" w:hAnsi="Aptos Light" w:cs="Aptos Light"/>
          <w:sz w:val="24"/>
          <w:szCs w:val="24"/>
        </w:rPr>
      </w:pPr>
      <w:proofErr w:type="gramStart"/>
      <w:r>
        <w:rPr>
          <w:rFonts w:ascii="Aptos Light" w:eastAsia="Aptos Light" w:hAnsi="Aptos Light" w:cs="Aptos Light"/>
          <w:sz w:val="24"/>
          <w:szCs w:val="24"/>
        </w:rPr>
        <w:t>§  SPOGLIATOIO</w:t>
      </w:r>
      <w:proofErr w:type="gramEnd"/>
      <w:r>
        <w:rPr>
          <w:rFonts w:ascii="Aptos Light" w:eastAsia="Aptos Light" w:hAnsi="Aptos Light" w:cs="Aptos Light"/>
          <w:sz w:val="24"/>
          <w:szCs w:val="24"/>
        </w:rPr>
        <w:t xml:space="preserve"> FEMMINILE   mq.   </w:t>
      </w:r>
      <w:r>
        <w:rPr>
          <w:rFonts w:ascii="Aptos Light" w:eastAsia="Aptos Light" w:hAnsi="Aptos Light" w:cs="Aptos Light"/>
          <w:sz w:val="24"/>
          <w:szCs w:val="24"/>
        </w:rPr>
        <w:tab/>
        <w:t>46,78</w:t>
      </w:r>
    </w:p>
    <w:p w14:paraId="29D7765D" w14:textId="77777777" w:rsidR="004719AC" w:rsidRDefault="00000000">
      <w:pPr>
        <w:spacing w:before="240"/>
        <w:jc w:val="both"/>
        <w:rPr>
          <w:rFonts w:ascii="Aptos Light" w:eastAsia="Aptos Light" w:hAnsi="Aptos Light" w:cs="Aptos Light"/>
          <w:sz w:val="24"/>
          <w:szCs w:val="24"/>
        </w:rPr>
      </w:pPr>
      <w:proofErr w:type="gramStart"/>
      <w:r>
        <w:rPr>
          <w:rFonts w:ascii="Aptos Light" w:eastAsia="Aptos Light" w:hAnsi="Aptos Light" w:cs="Aptos Light"/>
          <w:sz w:val="24"/>
          <w:szCs w:val="24"/>
        </w:rPr>
        <w:t>§  DOCCE</w:t>
      </w:r>
      <w:proofErr w:type="gramEnd"/>
      <w:r>
        <w:rPr>
          <w:rFonts w:ascii="Aptos Light" w:eastAsia="Aptos Light" w:hAnsi="Aptos Light" w:cs="Aptos Light"/>
          <w:sz w:val="24"/>
          <w:szCs w:val="24"/>
        </w:rPr>
        <w:t xml:space="preserve"> DONNE      </w:t>
      </w:r>
      <w:r>
        <w:rPr>
          <w:rFonts w:ascii="Aptos Light" w:eastAsia="Aptos Light" w:hAnsi="Aptos Light" w:cs="Aptos Light"/>
          <w:sz w:val="24"/>
          <w:szCs w:val="24"/>
        </w:rPr>
        <w:tab/>
        <w:t xml:space="preserve">mq.   </w:t>
      </w:r>
      <w:r>
        <w:rPr>
          <w:rFonts w:ascii="Aptos Light" w:eastAsia="Aptos Light" w:hAnsi="Aptos Light" w:cs="Aptos Light"/>
          <w:sz w:val="24"/>
          <w:szCs w:val="24"/>
        </w:rPr>
        <w:tab/>
        <w:t>42,30</w:t>
      </w:r>
    </w:p>
    <w:p w14:paraId="49E4A740" w14:textId="77777777" w:rsidR="004719AC" w:rsidRPr="008B3811" w:rsidRDefault="00000000">
      <w:pPr>
        <w:spacing w:before="240"/>
        <w:jc w:val="both"/>
        <w:rPr>
          <w:rFonts w:ascii="Aptos Light" w:eastAsia="Aptos Light" w:hAnsi="Aptos Light" w:cs="Aptos Light"/>
          <w:sz w:val="24"/>
          <w:szCs w:val="24"/>
          <w:lang w:val="en-GB"/>
        </w:rPr>
      </w:pPr>
      <w:proofErr w:type="gramStart"/>
      <w:r>
        <w:rPr>
          <w:rFonts w:ascii="Aptos Light" w:eastAsia="Aptos Light" w:hAnsi="Aptos Light" w:cs="Aptos Light"/>
          <w:sz w:val="24"/>
          <w:szCs w:val="24"/>
        </w:rPr>
        <w:t>§  PALESTRA</w:t>
      </w:r>
      <w:proofErr w:type="gramEnd"/>
      <w:r>
        <w:rPr>
          <w:rFonts w:ascii="Aptos Light" w:eastAsia="Aptos Light" w:hAnsi="Aptos Light" w:cs="Aptos Light"/>
          <w:sz w:val="24"/>
          <w:szCs w:val="24"/>
        </w:rPr>
        <w:t xml:space="preserve"> JUDO/KARATE’</w:t>
      </w:r>
      <w:r>
        <w:rPr>
          <w:rFonts w:ascii="Aptos Light" w:eastAsia="Aptos Light" w:hAnsi="Aptos Light" w:cs="Aptos Light"/>
          <w:sz w:val="24"/>
          <w:szCs w:val="24"/>
        </w:rPr>
        <w:tab/>
        <w:t xml:space="preserve">mq.   </w:t>
      </w:r>
      <w:r>
        <w:rPr>
          <w:rFonts w:ascii="Aptos Light" w:eastAsia="Aptos Light" w:hAnsi="Aptos Light" w:cs="Aptos Light"/>
          <w:sz w:val="24"/>
          <w:szCs w:val="24"/>
        </w:rPr>
        <w:tab/>
      </w:r>
      <w:r w:rsidRPr="008B3811">
        <w:rPr>
          <w:rFonts w:ascii="Aptos Light" w:eastAsia="Aptos Light" w:hAnsi="Aptos Light" w:cs="Aptos Light"/>
          <w:sz w:val="24"/>
          <w:szCs w:val="24"/>
          <w:lang w:val="en-GB"/>
        </w:rPr>
        <w:t>39,91</w:t>
      </w:r>
    </w:p>
    <w:p w14:paraId="63F11771" w14:textId="77777777" w:rsidR="004719AC" w:rsidRPr="008B3811" w:rsidRDefault="00000000">
      <w:pPr>
        <w:spacing w:before="240"/>
        <w:jc w:val="both"/>
        <w:rPr>
          <w:rFonts w:ascii="Aptos Light" w:eastAsia="Aptos Light" w:hAnsi="Aptos Light" w:cs="Aptos Light"/>
          <w:sz w:val="24"/>
          <w:szCs w:val="24"/>
          <w:lang w:val="en-GB"/>
        </w:rPr>
      </w:pPr>
      <w:proofErr w:type="gramStart"/>
      <w:r w:rsidRPr="008B3811">
        <w:rPr>
          <w:rFonts w:ascii="Aptos Light" w:eastAsia="Aptos Light" w:hAnsi="Aptos Light" w:cs="Aptos Light"/>
          <w:sz w:val="24"/>
          <w:szCs w:val="24"/>
          <w:lang w:val="en-GB"/>
        </w:rPr>
        <w:t>§  ANTI</w:t>
      </w:r>
      <w:proofErr w:type="gramEnd"/>
      <w:r w:rsidRPr="008B3811">
        <w:rPr>
          <w:rFonts w:ascii="Aptos Light" w:eastAsia="Aptos Light" w:hAnsi="Aptos Light" w:cs="Aptos Light"/>
          <w:sz w:val="24"/>
          <w:szCs w:val="24"/>
          <w:lang w:val="en-GB"/>
        </w:rPr>
        <w:t xml:space="preserve"> W.C.    </w:t>
      </w:r>
      <w:r w:rsidRPr="008B3811">
        <w:rPr>
          <w:rFonts w:ascii="Aptos Light" w:eastAsia="Aptos Light" w:hAnsi="Aptos Light" w:cs="Aptos Light"/>
          <w:sz w:val="24"/>
          <w:szCs w:val="24"/>
          <w:lang w:val="en-GB"/>
        </w:rPr>
        <w:tab/>
        <w:t xml:space="preserve">mq.   </w:t>
      </w:r>
      <w:r w:rsidRPr="008B3811">
        <w:rPr>
          <w:rFonts w:ascii="Aptos Light" w:eastAsia="Aptos Light" w:hAnsi="Aptos Light" w:cs="Aptos Light"/>
          <w:sz w:val="24"/>
          <w:szCs w:val="24"/>
          <w:lang w:val="en-GB"/>
        </w:rPr>
        <w:tab/>
        <w:t>2,48</w:t>
      </w:r>
    </w:p>
    <w:p w14:paraId="331D380C" w14:textId="77777777" w:rsidR="004719AC" w:rsidRDefault="00000000">
      <w:pPr>
        <w:spacing w:before="240"/>
        <w:jc w:val="both"/>
        <w:rPr>
          <w:rFonts w:ascii="Aptos Light" w:eastAsia="Aptos Light" w:hAnsi="Aptos Light" w:cs="Aptos Light"/>
          <w:sz w:val="24"/>
          <w:szCs w:val="24"/>
          <w:u w:val="single"/>
        </w:rPr>
      </w:pPr>
      <w:proofErr w:type="gramStart"/>
      <w:r w:rsidRPr="008B3811">
        <w:rPr>
          <w:rFonts w:ascii="Aptos Light" w:eastAsia="Aptos Light" w:hAnsi="Aptos Light" w:cs="Aptos Light"/>
          <w:sz w:val="24"/>
          <w:szCs w:val="24"/>
          <w:lang w:val="en-GB"/>
        </w:rPr>
        <w:t>§  W.C.</w:t>
      </w:r>
      <w:proofErr w:type="gramEnd"/>
      <w:r w:rsidRPr="008B3811">
        <w:rPr>
          <w:rFonts w:ascii="Aptos Light" w:eastAsia="Aptos Light" w:hAnsi="Aptos Light" w:cs="Aptos Light"/>
          <w:sz w:val="24"/>
          <w:szCs w:val="24"/>
          <w:lang w:val="en-GB"/>
        </w:rPr>
        <w:tab/>
      </w:r>
      <w:r w:rsidRPr="008B3811">
        <w:rPr>
          <w:rFonts w:ascii="Aptos Light" w:eastAsia="Aptos Light" w:hAnsi="Aptos Light" w:cs="Aptos Light"/>
          <w:sz w:val="24"/>
          <w:szCs w:val="24"/>
          <w:u w:val="single"/>
          <w:lang w:val="en-GB"/>
        </w:rPr>
        <w:t xml:space="preserve">mq.   </w:t>
      </w:r>
      <w:r w:rsidRPr="008B3811">
        <w:rPr>
          <w:rFonts w:ascii="Aptos Light" w:eastAsia="Aptos Light" w:hAnsi="Aptos Light" w:cs="Aptos Light"/>
          <w:sz w:val="24"/>
          <w:szCs w:val="24"/>
          <w:u w:val="single"/>
          <w:lang w:val="en-GB"/>
        </w:rPr>
        <w:tab/>
      </w:r>
      <w:r>
        <w:rPr>
          <w:rFonts w:ascii="Aptos Light" w:eastAsia="Aptos Light" w:hAnsi="Aptos Light" w:cs="Aptos Light"/>
          <w:sz w:val="24"/>
          <w:szCs w:val="24"/>
          <w:u w:val="single"/>
        </w:rPr>
        <w:t>3,71</w:t>
      </w:r>
    </w:p>
    <w:p w14:paraId="02FBF0B7" w14:textId="77777777" w:rsidR="004719AC" w:rsidRDefault="00000000">
      <w:pPr>
        <w:spacing w:before="240"/>
        <w:jc w:val="both"/>
        <w:rPr>
          <w:rFonts w:ascii="Aptos Light" w:eastAsia="Aptos Light" w:hAnsi="Aptos Light" w:cs="Aptos Light"/>
          <w:sz w:val="24"/>
          <w:szCs w:val="24"/>
        </w:rPr>
      </w:pPr>
      <w:r>
        <w:rPr>
          <w:rFonts w:ascii="Aptos Light" w:eastAsia="Aptos Light" w:hAnsi="Aptos Light" w:cs="Aptos Light"/>
          <w:sz w:val="24"/>
          <w:szCs w:val="24"/>
        </w:rPr>
        <w:t>Sommano locali servizi</w:t>
      </w:r>
      <w:r>
        <w:rPr>
          <w:rFonts w:ascii="Aptos Light" w:eastAsia="Aptos Light" w:hAnsi="Aptos Light" w:cs="Aptos Light"/>
          <w:b/>
          <w:sz w:val="24"/>
          <w:szCs w:val="24"/>
        </w:rPr>
        <w:t xml:space="preserve">    </w:t>
      </w:r>
      <w:r>
        <w:rPr>
          <w:rFonts w:ascii="Aptos Light" w:eastAsia="Aptos Light" w:hAnsi="Aptos Light" w:cs="Aptos Light"/>
          <w:b/>
          <w:sz w:val="24"/>
          <w:szCs w:val="24"/>
        </w:rPr>
        <w:tab/>
      </w:r>
      <w:r>
        <w:rPr>
          <w:rFonts w:ascii="Aptos Light" w:eastAsia="Aptos Light" w:hAnsi="Aptos Light" w:cs="Aptos Light"/>
          <w:sz w:val="24"/>
          <w:szCs w:val="24"/>
        </w:rPr>
        <w:t xml:space="preserve">mq.   </w:t>
      </w:r>
      <w:r>
        <w:rPr>
          <w:rFonts w:ascii="Aptos Light" w:eastAsia="Aptos Light" w:hAnsi="Aptos Light" w:cs="Aptos Light"/>
          <w:sz w:val="24"/>
          <w:szCs w:val="24"/>
        </w:rPr>
        <w:tab/>
        <w:t>376,16</w:t>
      </w:r>
    </w:p>
    <w:p w14:paraId="164E537B" w14:textId="77777777" w:rsidR="004719AC" w:rsidRDefault="00000000">
      <w:pPr>
        <w:spacing w:before="240"/>
        <w:jc w:val="both"/>
        <w:rPr>
          <w:rFonts w:ascii="Aptos Light" w:eastAsia="Aptos Light" w:hAnsi="Aptos Light" w:cs="Aptos Light"/>
          <w:sz w:val="24"/>
          <w:szCs w:val="24"/>
        </w:rPr>
      </w:pPr>
      <w:proofErr w:type="gramStart"/>
      <w:r>
        <w:rPr>
          <w:rFonts w:ascii="Aptos Light" w:eastAsia="Aptos Light" w:hAnsi="Aptos Light" w:cs="Aptos Light"/>
          <w:sz w:val="24"/>
          <w:szCs w:val="24"/>
        </w:rPr>
        <w:t>§  ZONA</w:t>
      </w:r>
      <w:proofErr w:type="gramEnd"/>
      <w:r>
        <w:rPr>
          <w:rFonts w:ascii="Aptos Light" w:eastAsia="Aptos Light" w:hAnsi="Aptos Light" w:cs="Aptos Light"/>
          <w:sz w:val="24"/>
          <w:szCs w:val="24"/>
        </w:rPr>
        <w:t xml:space="preserve"> VASCHE        </w:t>
      </w:r>
      <w:r>
        <w:rPr>
          <w:rFonts w:ascii="Aptos Light" w:eastAsia="Aptos Light" w:hAnsi="Aptos Light" w:cs="Aptos Light"/>
          <w:sz w:val="24"/>
          <w:szCs w:val="24"/>
        </w:rPr>
        <w:tab/>
        <w:t xml:space="preserve">mq.   </w:t>
      </w:r>
      <w:r>
        <w:rPr>
          <w:rFonts w:ascii="Aptos Light" w:eastAsia="Aptos Light" w:hAnsi="Aptos Light" w:cs="Aptos Light"/>
          <w:sz w:val="24"/>
          <w:szCs w:val="24"/>
        </w:rPr>
        <w:tab/>
        <w:t>1.159,02</w:t>
      </w:r>
    </w:p>
    <w:p w14:paraId="55E55599" w14:textId="77777777" w:rsidR="004719AC" w:rsidRDefault="00000000">
      <w:pPr>
        <w:spacing w:before="240"/>
        <w:jc w:val="both"/>
        <w:rPr>
          <w:rFonts w:ascii="Aptos Light" w:eastAsia="Aptos Light" w:hAnsi="Aptos Light" w:cs="Aptos Light"/>
          <w:sz w:val="24"/>
          <w:szCs w:val="24"/>
        </w:rPr>
      </w:pPr>
      <w:proofErr w:type="gramStart"/>
      <w:r>
        <w:rPr>
          <w:rFonts w:ascii="Aptos Light" w:eastAsia="Aptos Light" w:hAnsi="Aptos Light" w:cs="Aptos Light"/>
          <w:sz w:val="24"/>
          <w:szCs w:val="24"/>
        </w:rPr>
        <w:t>§  VANO</w:t>
      </w:r>
      <w:proofErr w:type="gramEnd"/>
      <w:r>
        <w:rPr>
          <w:rFonts w:ascii="Aptos Light" w:eastAsia="Aptos Light" w:hAnsi="Aptos Light" w:cs="Aptos Light"/>
          <w:sz w:val="24"/>
          <w:szCs w:val="24"/>
        </w:rPr>
        <w:t xml:space="preserve"> CALDAIA      </w:t>
      </w:r>
      <w:r>
        <w:rPr>
          <w:rFonts w:ascii="Aptos Light" w:eastAsia="Aptos Light" w:hAnsi="Aptos Light" w:cs="Aptos Light"/>
          <w:sz w:val="24"/>
          <w:szCs w:val="24"/>
        </w:rPr>
        <w:tab/>
        <w:t xml:space="preserve">mq.   </w:t>
      </w:r>
      <w:r>
        <w:rPr>
          <w:rFonts w:ascii="Aptos Light" w:eastAsia="Aptos Light" w:hAnsi="Aptos Light" w:cs="Aptos Light"/>
          <w:sz w:val="24"/>
          <w:szCs w:val="24"/>
        </w:rPr>
        <w:tab/>
        <w:t>27,76</w:t>
      </w:r>
    </w:p>
    <w:p w14:paraId="5A11BD1A" w14:textId="77777777" w:rsidR="004719AC" w:rsidRDefault="004719AC">
      <w:pPr>
        <w:pStyle w:val="Titolo1"/>
        <w:spacing w:before="240"/>
        <w:ind w:left="0"/>
        <w:jc w:val="both"/>
        <w:rPr>
          <w:rFonts w:ascii="Aptos Light" w:eastAsia="Aptos Light" w:hAnsi="Aptos Light" w:cs="Aptos Light"/>
          <w:b w:val="0"/>
        </w:rPr>
      </w:pPr>
    </w:p>
    <w:p w14:paraId="75906536" w14:textId="77777777" w:rsidR="004719AC" w:rsidRDefault="00000000">
      <w:pPr>
        <w:pStyle w:val="Titolo1"/>
        <w:spacing w:before="240"/>
        <w:ind w:left="0" w:firstLine="720"/>
        <w:jc w:val="both"/>
        <w:rPr>
          <w:rFonts w:ascii="Aptos Light" w:eastAsia="Aptos Light" w:hAnsi="Aptos Light" w:cs="Aptos Light"/>
          <w:b w:val="0"/>
        </w:rPr>
      </w:pPr>
      <w:r>
        <w:rPr>
          <w:rFonts w:ascii="Aptos Light" w:eastAsia="Aptos Light" w:hAnsi="Aptos Light" w:cs="Aptos Light"/>
          <w:b w:val="0"/>
        </w:rPr>
        <w:t xml:space="preserve">1.3.3 Planimetria </w:t>
      </w:r>
    </w:p>
    <w:p w14:paraId="3F87AF7E" w14:textId="77777777" w:rsidR="004719AC" w:rsidRDefault="00000000">
      <w:pPr>
        <w:pStyle w:val="Titolo1"/>
        <w:spacing w:before="240"/>
        <w:ind w:left="0"/>
        <w:jc w:val="both"/>
        <w:rPr>
          <w:b w:val="0"/>
        </w:rPr>
      </w:pPr>
      <w:r>
        <w:rPr>
          <w:b w:val="0"/>
        </w:rPr>
        <w:t>Allegato A-Planimetria</w:t>
      </w:r>
    </w:p>
    <w:p w14:paraId="53645DBF" w14:textId="77777777" w:rsidR="004719AC" w:rsidRDefault="004719AC"/>
    <w:p w14:paraId="4C6D5495" w14:textId="77777777" w:rsidR="004719AC" w:rsidRDefault="00000000">
      <w:r>
        <w:rPr>
          <w:noProof/>
        </w:rPr>
        <w:lastRenderedPageBreak/>
        <w:drawing>
          <wp:inline distT="114300" distB="114300" distL="114300" distR="114300" wp14:anchorId="0B7151C3" wp14:editId="155A6695">
            <wp:extent cx="6270943" cy="4765124"/>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270943" cy="4765124"/>
                    </a:xfrm>
                    <a:prstGeom prst="rect">
                      <a:avLst/>
                    </a:prstGeom>
                    <a:ln/>
                  </pic:spPr>
                </pic:pic>
              </a:graphicData>
            </a:graphic>
          </wp:inline>
        </w:drawing>
      </w:r>
    </w:p>
    <w:p w14:paraId="1952BD0F" w14:textId="77777777" w:rsidR="004719AC" w:rsidRDefault="004719AC"/>
    <w:p w14:paraId="162BB5A1" w14:textId="77777777" w:rsidR="004719AC" w:rsidRDefault="00000000">
      <w:pPr>
        <w:pStyle w:val="Titolo1"/>
        <w:spacing w:before="240"/>
        <w:ind w:left="0"/>
        <w:jc w:val="both"/>
        <w:rPr>
          <w:rFonts w:ascii="Aptos Light" w:eastAsia="Aptos Light" w:hAnsi="Aptos Light" w:cs="Aptos Light"/>
          <w:b w:val="0"/>
        </w:rPr>
      </w:pPr>
      <w:r>
        <w:rPr>
          <w:rFonts w:ascii="Aptos Light" w:eastAsia="Aptos Light" w:hAnsi="Aptos Light" w:cs="Aptos Light"/>
          <w:b w:val="0"/>
        </w:rPr>
        <w:t>1.4 Descrizione dei servizi e prestazioni</w:t>
      </w:r>
    </w:p>
    <w:p w14:paraId="25E3986A" w14:textId="01C57127" w:rsidR="004719AC" w:rsidRDefault="00000000">
      <w:pPr>
        <w:pBdr>
          <w:top w:val="nil"/>
          <w:left w:val="nil"/>
          <w:bottom w:val="nil"/>
          <w:right w:val="nil"/>
          <w:between w:val="nil"/>
        </w:pBdr>
        <w:spacing w:before="240"/>
        <w:ind w:right="14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In osservanza di quanto disposto dall’Amministrazione con delibera di Giunta Comunale n. 23 del 21/11/2024 e con delibera di Consiglio n. 45 del 17/12/2024, il </w:t>
      </w:r>
      <w:r w:rsidR="00C707B3">
        <w:rPr>
          <w:rFonts w:ascii="Aptos Light" w:eastAsia="Aptos Light" w:hAnsi="Aptos Light" w:cs="Aptos Light"/>
          <w:color w:val="000000"/>
          <w:sz w:val="24"/>
          <w:szCs w:val="24"/>
        </w:rPr>
        <w:t>C</w:t>
      </w:r>
      <w:r>
        <w:rPr>
          <w:rFonts w:ascii="Aptos Light" w:eastAsia="Aptos Light" w:hAnsi="Aptos Light" w:cs="Aptos Light"/>
          <w:color w:val="000000"/>
          <w:sz w:val="24"/>
          <w:szCs w:val="24"/>
        </w:rPr>
        <w:t>oncessionario dovrà garantire i seguenti servizi.</w:t>
      </w:r>
    </w:p>
    <w:p w14:paraId="275AD375" w14:textId="77777777" w:rsidR="004719AC" w:rsidRDefault="00000000">
      <w:pPr>
        <w:pBdr>
          <w:top w:val="nil"/>
          <w:left w:val="nil"/>
          <w:bottom w:val="nil"/>
          <w:right w:val="nil"/>
          <w:between w:val="nil"/>
        </w:pBdr>
        <w:spacing w:before="24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Servizi e prestazioni di base che potranno essere forniti </w:t>
      </w:r>
      <w:r>
        <w:rPr>
          <w:rFonts w:ascii="Aptos Light" w:eastAsia="Aptos Light" w:hAnsi="Aptos Light" w:cs="Aptos Light"/>
          <w:sz w:val="24"/>
          <w:szCs w:val="24"/>
        </w:rPr>
        <w:t>all'utenza interessata</w:t>
      </w:r>
      <w:r>
        <w:rPr>
          <w:rFonts w:ascii="Aptos Light" w:eastAsia="Aptos Light" w:hAnsi="Aptos Light" w:cs="Aptos Light"/>
          <w:color w:val="000000"/>
          <w:sz w:val="24"/>
          <w:szCs w:val="24"/>
        </w:rPr>
        <w:t>:</w:t>
      </w:r>
    </w:p>
    <w:p w14:paraId="626EE4C7" w14:textId="77777777" w:rsidR="004719AC" w:rsidRDefault="00000000">
      <w:pPr>
        <w:numPr>
          <w:ilvl w:val="2"/>
          <w:numId w:val="5"/>
        </w:numPr>
        <w:pBdr>
          <w:top w:val="nil"/>
          <w:left w:val="nil"/>
          <w:bottom w:val="nil"/>
          <w:right w:val="nil"/>
          <w:between w:val="nil"/>
        </w:pBdr>
        <w:tabs>
          <w:tab w:val="left" w:pos="957"/>
        </w:tabs>
        <w:spacing w:before="240"/>
        <w:ind w:left="0" w:firstLine="0"/>
        <w:jc w:val="both"/>
        <w:rPr>
          <w:rFonts w:ascii="Aptos Light" w:eastAsia="Aptos Light" w:hAnsi="Aptos Light" w:cs="Aptos Light"/>
          <w:color w:val="000000"/>
          <w:sz w:val="24"/>
          <w:szCs w:val="24"/>
        </w:rPr>
      </w:pPr>
      <w:r>
        <w:rPr>
          <w:rFonts w:ascii="Aptos Light" w:eastAsia="Aptos Light" w:hAnsi="Aptos Light" w:cs="Aptos Light"/>
          <w:sz w:val="24"/>
          <w:szCs w:val="24"/>
        </w:rPr>
        <w:t>Attività e c</w:t>
      </w:r>
      <w:r>
        <w:rPr>
          <w:rFonts w:ascii="Aptos Light" w:eastAsia="Aptos Light" w:hAnsi="Aptos Light" w:cs="Aptos Light"/>
          <w:color w:val="000000"/>
          <w:sz w:val="24"/>
          <w:szCs w:val="24"/>
        </w:rPr>
        <w:t>orsi per bambini e ragazzi</w:t>
      </w:r>
      <w:r>
        <w:rPr>
          <w:rFonts w:ascii="Aptos Light" w:eastAsia="Aptos Light" w:hAnsi="Aptos Light" w:cs="Aptos Light"/>
          <w:sz w:val="24"/>
          <w:szCs w:val="24"/>
        </w:rPr>
        <w:t>, sia a livello dilettantistico che agonistico</w:t>
      </w:r>
    </w:p>
    <w:p w14:paraId="534B85C0" w14:textId="77777777" w:rsidR="004719AC" w:rsidRDefault="00000000">
      <w:pPr>
        <w:numPr>
          <w:ilvl w:val="2"/>
          <w:numId w:val="5"/>
        </w:numPr>
        <w:pBdr>
          <w:top w:val="nil"/>
          <w:left w:val="nil"/>
          <w:bottom w:val="nil"/>
          <w:right w:val="nil"/>
          <w:between w:val="nil"/>
        </w:pBdr>
        <w:tabs>
          <w:tab w:val="left" w:pos="957"/>
        </w:tabs>
        <w:spacing w:before="240"/>
        <w:ind w:left="0" w:firstLine="0"/>
        <w:jc w:val="both"/>
        <w:rPr>
          <w:rFonts w:ascii="Aptos Light" w:eastAsia="Aptos Light" w:hAnsi="Aptos Light" w:cs="Aptos Light"/>
          <w:color w:val="000000"/>
          <w:sz w:val="24"/>
          <w:szCs w:val="24"/>
        </w:rPr>
      </w:pPr>
      <w:r>
        <w:rPr>
          <w:rFonts w:ascii="Aptos Light" w:eastAsia="Aptos Light" w:hAnsi="Aptos Light" w:cs="Aptos Light"/>
          <w:sz w:val="24"/>
          <w:szCs w:val="24"/>
        </w:rPr>
        <w:t>Attività e c</w:t>
      </w:r>
      <w:r>
        <w:rPr>
          <w:rFonts w:ascii="Aptos Light" w:eastAsia="Aptos Light" w:hAnsi="Aptos Light" w:cs="Aptos Light"/>
          <w:color w:val="000000"/>
          <w:sz w:val="24"/>
          <w:szCs w:val="24"/>
        </w:rPr>
        <w:t xml:space="preserve">orsi per adulti, </w:t>
      </w:r>
      <w:r>
        <w:rPr>
          <w:rFonts w:ascii="Aptos Light" w:eastAsia="Aptos Light" w:hAnsi="Aptos Light" w:cs="Aptos Light"/>
          <w:sz w:val="24"/>
          <w:szCs w:val="24"/>
        </w:rPr>
        <w:t>sia a livello dilettantistico che agonistico</w:t>
      </w:r>
    </w:p>
    <w:p w14:paraId="13570054" w14:textId="77777777" w:rsidR="004719AC" w:rsidRDefault="00000000">
      <w:pPr>
        <w:numPr>
          <w:ilvl w:val="2"/>
          <w:numId w:val="5"/>
        </w:numPr>
        <w:pBdr>
          <w:top w:val="nil"/>
          <w:left w:val="nil"/>
          <w:bottom w:val="nil"/>
          <w:right w:val="nil"/>
          <w:between w:val="nil"/>
        </w:pBdr>
        <w:tabs>
          <w:tab w:val="left" w:pos="957"/>
        </w:tabs>
        <w:spacing w:before="240"/>
        <w:ind w:left="0" w:firstLine="0"/>
        <w:jc w:val="both"/>
        <w:rPr>
          <w:rFonts w:ascii="Aptos Light" w:eastAsia="Aptos Light" w:hAnsi="Aptos Light" w:cs="Aptos Light"/>
          <w:color w:val="000000"/>
          <w:sz w:val="24"/>
          <w:szCs w:val="24"/>
        </w:rPr>
      </w:pPr>
      <w:r>
        <w:rPr>
          <w:rFonts w:ascii="Aptos Light" w:eastAsia="Aptos Light" w:hAnsi="Aptos Light" w:cs="Aptos Light"/>
          <w:sz w:val="24"/>
          <w:szCs w:val="24"/>
        </w:rPr>
        <w:t>Attività e c</w:t>
      </w:r>
      <w:r>
        <w:rPr>
          <w:rFonts w:ascii="Aptos Light" w:eastAsia="Aptos Light" w:hAnsi="Aptos Light" w:cs="Aptos Light"/>
          <w:color w:val="000000"/>
          <w:sz w:val="24"/>
          <w:szCs w:val="24"/>
        </w:rPr>
        <w:t xml:space="preserve">orsi per persone con disabilità, </w:t>
      </w:r>
      <w:r>
        <w:rPr>
          <w:rFonts w:ascii="Aptos Light" w:eastAsia="Aptos Light" w:hAnsi="Aptos Light" w:cs="Aptos Light"/>
          <w:sz w:val="24"/>
          <w:szCs w:val="24"/>
        </w:rPr>
        <w:t>sia a livello dilettantistico che agonistico</w:t>
      </w:r>
    </w:p>
    <w:p w14:paraId="0BB4475F" w14:textId="77777777" w:rsidR="004719AC" w:rsidRDefault="00000000">
      <w:pPr>
        <w:numPr>
          <w:ilvl w:val="2"/>
          <w:numId w:val="5"/>
        </w:numPr>
        <w:pBdr>
          <w:top w:val="nil"/>
          <w:left w:val="nil"/>
          <w:bottom w:val="nil"/>
          <w:right w:val="nil"/>
          <w:between w:val="nil"/>
        </w:pBdr>
        <w:tabs>
          <w:tab w:val="left" w:pos="957"/>
        </w:tabs>
        <w:spacing w:before="240"/>
        <w:ind w:left="0" w:firstLine="0"/>
        <w:jc w:val="both"/>
        <w:rPr>
          <w:rFonts w:ascii="Aptos Light" w:eastAsia="Aptos Light" w:hAnsi="Aptos Light" w:cs="Aptos Light"/>
          <w:color w:val="000000"/>
          <w:sz w:val="24"/>
          <w:szCs w:val="24"/>
        </w:rPr>
      </w:pPr>
      <w:r>
        <w:rPr>
          <w:rFonts w:ascii="Aptos Light" w:eastAsia="Aptos Light" w:hAnsi="Aptos Light" w:cs="Aptos Light"/>
          <w:sz w:val="24"/>
          <w:szCs w:val="24"/>
        </w:rPr>
        <w:t>Attività e corsi per esigenze fisioterapiche e/o di recupero fisico</w:t>
      </w:r>
    </w:p>
    <w:p w14:paraId="1E22CB79" w14:textId="77777777" w:rsidR="004719AC" w:rsidRDefault="00000000">
      <w:pPr>
        <w:numPr>
          <w:ilvl w:val="2"/>
          <w:numId w:val="5"/>
        </w:numPr>
        <w:pBdr>
          <w:top w:val="nil"/>
          <w:left w:val="nil"/>
          <w:bottom w:val="nil"/>
          <w:right w:val="nil"/>
          <w:between w:val="nil"/>
        </w:pBdr>
        <w:tabs>
          <w:tab w:val="left" w:pos="957"/>
        </w:tabs>
        <w:spacing w:before="240"/>
        <w:ind w:left="0" w:firstLine="0"/>
        <w:jc w:val="both"/>
        <w:rPr>
          <w:rFonts w:ascii="Aptos Light" w:eastAsia="Aptos Light" w:hAnsi="Aptos Light" w:cs="Aptos Light"/>
          <w:sz w:val="24"/>
          <w:szCs w:val="24"/>
        </w:rPr>
      </w:pPr>
      <w:r>
        <w:rPr>
          <w:rFonts w:ascii="Aptos Light" w:eastAsia="Aptos Light" w:hAnsi="Aptos Light" w:cs="Aptos Light"/>
          <w:sz w:val="24"/>
          <w:szCs w:val="24"/>
        </w:rPr>
        <w:t>Attività, manifestazioni ed eventi</w:t>
      </w:r>
    </w:p>
    <w:p w14:paraId="37E4B122" w14:textId="77777777" w:rsidR="004719AC" w:rsidRDefault="00000000">
      <w:pPr>
        <w:numPr>
          <w:ilvl w:val="2"/>
          <w:numId w:val="5"/>
        </w:numPr>
        <w:pBdr>
          <w:top w:val="nil"/>
          <w:left w:val="nil"/>
          <w:bottom w:val="nil"/>
          <w:right w:val="nil"/>
          <w:between w:val="nil"/>
        </w:pBdr>
        <w:tabs>
          <w:tab w:val="left" w:pos="957"/>
        </w:tabs>
        <w:spacing w:before="240"/>
        <w:ind w:left="0" w:firstLine="0"/>
        <w:jc w:val="both"/>
        <w:rPr>
          <w:rFonts w:ascii="Aptos Light" w:eastAsia="Aptos Light" w:hAnsi="Aptos Light" w:cs="Aptos Light"/>
          <w:color w:val="000000"/>
          <w:sz w:val="24"/>
          <w:szCs w:val="24"/>
        </w:rPr>
      </w:pPr>
      <w:r>
        <w:rPr>
          <w:rFonts w:ascii="Aptos Light" w:eastAsia="Aptos Light" w:hAnsi="Aptos Light" w:cs="Aptos Light"/>
          <w:sz w:val="24"/>
          <w:szCs w:val="24"/>
        </w:rPr>
        <w:t>Attività di ristoro e di intrattenimento</w:t>
      </w:r>
    </w:p>
    <w:p w14:paraId="5B6C2677" w14:textId="77777777" w:rsidR="004719AC" w:rsidRDefault="00000000">
      <w:pPr>
        <w:pBdr>
          <w:top w:val="nil"/>
          <w:left w:val="nil"/>
          <w:bottom w:val="nil"/>
          <w:right w:val="nil"/>
          <w:between w:val="nil"/>
        </w:pBdr>
        <w:tabs>
          <w:tab w:val="left" w:pos="957"/>
        </w:tabs>
        <w:spacing w:before="24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La presente gara, così come disposto dall’art. 11 del Disciplinare di gara, prevede l’attribuzione di un maggiore punteggio nell’offerta tecnica al partecipante che proponga di svolgere attività e servizi utili per la collettività tra cui, a titolo esemplificativo e non esaustivo: misure tese a migliorare la </w:t>
      </w:r>
      <w:r>
        <w:rPr>
          <w:rFonts w:ascii="Aptos Light" w:eastAsia="Aptos Light" w:hAnsi="Aptos Light" w:cs="Aptos Light"/>
          <w:color w:val="000000"/>
          <w:sz w:val="24"/>
          <w:szCs w:val="24"/>
        </w:rPr>
        <w:lastRenderedPageBreak/>
        <w:t>fruizione dell’impianto natatorio da parte delle persone con disabilità, organizzazione di attività in acqua dedicate alle gestanti, corsi di acquaticità neonatale, e corsi in aggiunta alle attività già previste nel periodo precedente, genericamente individuate come “servizi e prestazioni di base”.</w:t>
      </w:r>
    </w:p>
    <w:p w14:paraId="5F0C7726" w14:textId="77777777" w:rsidR="004719AC" w:rsidRDefault="00000000">
      <w:pPr>
        <w:pBdr>
          <w:top w:val="nil"/>
          <w:left w:val="nil"/>
          <w:bottom w:val="nil"/>
          <w:right w:val="nil"/>
          <w:between w:val="nil"/>
        </w:pBdr>
        <w:spacing w:before="240"/>
        <w:ind w:right="23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Le tipologie di attività che potranno svolgersi nella struttura, quindi, potranno variare dal mero corso di nuoto suddiviso per fasce d’età, allo svolgimento di corsi relativi ad attività da potersi svolgere in acqua (acquafitness, hydrobike, corsi pallanuoto ed altri).</w:t>
      </w:r>
    </w:p>
    <w:p w14:paraId="7C43D76D" w14:textId="77777777" w:rsidR="004719AC" w:rsidRDefault="00000000">
      <w:pPr>
        <w:pBdr>
          <w:top w:val="nil"/>
          <w:left w:val="nil"/>
          <w:bottom w:val="nil"/>
          <w:right w:val="nil"/>
          <w:between w:val="nil"/>
        </w:pBdr>
        <w:spacing w:before="24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Potranno, altresì, essere organizzati campi estivi per bambini e ragazzi.</w:t>
      </w:r>
    </w:p>
    <w:p w14:paraId="51AC5CA5" w14:textId="77777777" w:rsidR="004719AC" w:rsidRDefault="00000000">
      <w:pPr>
        <w:pBdr>
          <w:top w:val="nil"/>
          <w:left w:val="nil"/>
          <w:bottom w:val="nil"/>
          <w:right w:val="nil"/>
          <w:between w:val="nil"/>
        </w:pBdr>
        <w:spacing w:before="240"/>
        <w:ind w:right="232"/>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L’organizzazione delle attività nei vari ambienti della struttura dovrà tenere conto delle attività che verranno svolte contemporaneamente all’interno della stessa, ed il tutto dovrà essere programmato in modo tale che non venga inficiata la qualità dei servizi da offrire.</w:t>
      </w:r>
    </w:p>
    <w:p w14:paraId="5C6AFD15" w14:textId="77777777" w:rsidR="004719AC" w:rsidRDefault="00000000">
      <w:pPr>
        <w:pBdr>
          <w:top w:val="nil"/>
          <w:left w:val="nil"/>
          <w:bottom w:val="nil"/>
          <w:right w:val="nil"/>
          <w:between w:val="nil"/>
        </w:pBdr>
        <w:spacing w:before="240"/>
        <w:ind w:right="258"/>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Le tipologie di attività, la loro organizzazione e la loro valenza anche qualitativa saranno oggetto di valutazione dell’offerta tecnica.</w:t>
      </w:r>
    </w:p>
    <w:p w14:paraId="0F7BF1FD" w14:textId="77777777" w:rsidR="004719AC" w:rsidRDefault="00000000">
      <w:pPr>
        <w:pBdr>
          <w:top w:val="nil"/>
          <w:left w:val="nil"/>
          <w:bottom w:val="nil"/>
          <w:right w:val="nil"/>
          <w:between w:val="nil"/>
        </w:pBdr>
        <w:spacing w:before="240"/>
        <w:ind w:right="252"/>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Il concessionario dovrà poi presentare un piano delle tariffe per l’utilizzo dell’impianto in parola riservando un’agevolazione ai soggetti residenti nel Comune di Casoria nonché ai soggetti diversamente abili, muniti di apposita documentazione medica.</w:t>
      </w:r>
    </w:p>
    <w:p w14:paraId="20FF24D8" w14:textId="77777777" w:rsidR="004719AC" w:rsidRDefault="00000000">
      <w:pPr>
        <w:pBdr>
          <w:top w:val="nil"/>
          <w:left w:val="nil"/>
          <w:bottom w:val="nil"/>
          <w:right w:val="nil"/>
          <w:between w:val="nil"/>
        </w:pBdr>
        <w:spacing w:before="240"/>
        <w:ind w:right="252"/>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Dovrà prevedere in favore dell'Amministrazione Comunale il diritto di utilizzo gratuito degli impianti per un numero di trenta giorni l’anno per lo svolgimento di manifestazioni di particolare interesse pubblico, in periodi da concordare preventivamente con il concessionario.</w:t>
      </w:r>
    </w:p>
    <w:p w14:paraId="2191B30A" w14:textId="7153781F" w:rsidR="00273B0A" w:rsidRPr="00273B0A" w:rsidRDefault="00000000" w:rsidP="00273B0A">
      <w:pPr>
        <w:pBdr>
          <w:top w:val="nil"/>
          <w:left w:val="nil"/>
          <w:bottom w:val="nil"/>
          <w:right w:val="nil"/>
          <w:between w:val="nil"/>
        </w:pBdr>
        <w:spacing w:before="240"/>
        <w:ind w:right="252"/>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 presente gara, così come disposto dal successivo art. 11 del Disciplinare di gara, prevede l’attribuzione di un maggiore punteggio nell’offerta tecnica al partecipante che: proponga di svolgere attività e servizi utili per la collettività tra cui, a titolo esemplificativo e non esaustivo: misure tese a migliorare la fruizione dell’impianto natatorio da parte delle persone con disabilità, organizzazione di attività in acqua dedicate alle gestanti, corsi di acquaticità neonatale, e corsi in aggiunta alle attività già previste nel periodo precedente, genericamente individuate come “prestazioni di base”.</w:t>
      </w:r>
    </w:p>
    <w:p w14:paraId="4EFA4FB2" w14:textId="222932E1" w:rsidR="004719AC" w:rsidRDefault="00000000">
      <w:pPr>
        <w:pStyle w:val="Titolo1"/>
        <w:spacing w:before="240"/>
        <w:ind w:left="0"/>
        <w:jc w:val="both"/>
        <w:rPr>
          <w:rFonts w:ascii="Aptos Light" w:eastAsia="Aptos Light" w:hAnsi="Aptos Light" w:cs="Aptos Light"/>
        </w:rPr>
      </w:pPr>
      <w:r>
        <w:rPr>
          <w:rFonts w:ascii="Aptos Light" w:eastAsia="Aptos Light" w:hAnsi="Aptos Light" w:cs="Aptos Light"/>
        </w:rPr>
        <w:t>Art. 2 - Durata della concessione.</w:t>
      </w:r>
    </w:p>
    <w:p w14:paraId="73D0389A" w14:textId="0B81EE27" w:rsidR="004719AC" w:rsidRDefault="00000000">
      <w:pPr>
        <w:pBdr>
          <w:top w:val="nil"/>
          <w:left w:val="nil"/>
          <w:bottom w:val="nil"/>
          <w:right w:val="nil"/>
          <w:between w:val="nil"/>
        </w:pBdr>
        <w:spacing w:before="24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 durata della concessione sarà pari a 5 (</w:t>
      </w:r>
      <w:r w:rsidR="00DE0B49">
        <w:rPr>
          <w:rFonts w:ascii="Aptos Light" w:eastAsia="Aptos Light" w:hAnsi="Aptos Light" w:cs="Aptos Light"/>
          <w:color w:val="000000"/>
          <w:sz w:val="24"/>
          <w:szCs w:val="24"/>
        </w:rPr>
        <w:t>cinque</w:t>
      </w:r>
      <w:r>
        <w:rPr>
          <w:rFonts w:ascii="Aptos Light" w:eastAsia="Aptos Light" w:hAnsi="Aptos Light" w:cs="Aptos Light"/>
          <w:color w:val="000000"/>
          <w:sz w:val="24"/>
          <w:szCs w:val="24"/>
        </w:rPr>
        <w:t>) anni.</w:t>
      </w:r>
    </w:p>
    <w:p w14:paraId="16185D17" w14:textId="77777777" w:rsidR="004719AC" w:rsidRDefault="00000000">
      <w:pPr>
        <w:pBdr>
          <w:top w:val="nil"/>
          <w:left w:val="nil"/>
          <w:bottom w:val="nil"/>
          <w:right w:val="nil"/>
          <w:between w:val="nil"/>
        </w:pBdr>
        <w:spacing w:before="240"/>
        <w:jc w:val="both"/>
        <w:rPr>
          <w:rFonts w:ascii="Aptos Light" w:eastAsia="Aptos Light" w:hAnsi="Aptos Light" w:cs="Aptos Light"/>
          <w:b/>
          <w:color w:val="000000"/>
          <w:sz w:val="24"/>
          <w:szCs w:val="24"/>
        </w:rPr>
      </w:pPr>
      <w:r>
        <w:rPr>
          <w:rFonts w:ascii="Aptos Light" w:eastAsia="Aptos Light" w:hAnsi="Aptos Light" w:cs="Aptos Light"/>
          <w:color w:val="000000"/>
          <w:sz w:val="24"/>
          <w:szCs w:val="24"/>
        </w:rPr>
        <w:t>Alla scadenza la concessione potrà essere rinnovata</w:t>
      </w:r>
      <w:r>
        <w:rPr>
          <w:rFonts w:ascii="Aptos Light" w:eastAsia="Aptos Light" w:hAnsi="Aptos Light" w:cs="Aptos Light"/>
          <w:b/>
          <w:color w:val="000000"/>
          <w:sz w:val="24"/>
          <w:szCs w:val="24"/>
        </w:rPr>
        <w:t xml:space="preserve"> </w:t>
      </w:r>
      <w:r>
        <w:rPr>
          <w:rFonts w:ascii="Aptos Light" w:eastAsia="Aptos Light" w:hAnsi="Aptos Light" w:cs="Aptos Light"/>
          <w:color w:val="000000"/>
          <w:sz w:val="24"/>
          <w:szCs w:val="24"/>
        </w:rPr>
        <w:t>mediante rilascio di un nuovo ed espresso provvedimento dell’Ente concedente per periodo di analoga o inferiore durata e stipula di un nuovo atto che sostituisce quello scaduto di concessione</w:t>
      </w:r>
      <w:r>
        <w:rPr>
          <w:rFonts w:ascii="Aptos Light" w:eastAsia="Aptos Light" w:hAnsi="Aptos Light" w:cs="Aptos Light"/>
          <w:b/>
          <w:color w:val="000000"/>
          <w:sz w:val="24"/>
          <w:szCs w:val="24"/>
        </w:rPr>
        <w:t>.</w:t>
      </w:r>
    </w:p>
    <w:p w14:paraId="0227744A" w14:textId="47C744E4" w:rsidR="00273B0A" w:rsidRPr="00273B0A" w:rsidRDefault="00273B0A" w:rsidP="00273B0A">
      <w:pPr>
        <w:pBdr>
          <w:top w:val="nil"/>
          <w:left w:val="nil"/>
          <w:bottom w:val="nil"/>
          <w:right w:val="nil"/>
          <w:between w:val="nil"/>
        </w:pBdr>
        <w:spacing w:before="240"/>
        <w:jc w:val="both"/>
        <w:rPr>
          <w:rFonts w:ascii="Aptos Light" w:eastAsia="Aptos Light" w:hAnsi="Aptos Light" w:cs="Aptos Light"/>
          <w:color w:val="000000"/>
          <w:sz w:val="24"/>
          <w:szCs w:val="24"/>
          <w:lang w:val="it-IT"/>
        </w:rPr>
      </w:pPr>
      <w:bookmarkStart w:id="0" w:name="_Hlk223600454"/>
      <w:r>
        <w:rPr>
          <w:rFonts w:ascii="Aptos Light" w:eastAsia="Aptos Light" w:hAnsi="Aptos Light" w:cs="Aptos Light"/>
          <w:b/>
          <w:bCs/>
          <w:color w:val="000000"/>
          <w:sz w:val="24"/>
          <w:szCs w:val="24"/>
          <w:lang w:val="it-IT"/>
        </w:rPr>
        <w:t xml:space="preserve">Art. 2-bis - </w:t>
      </w:r>
      <w:r w:rsidRPr="00273B0A">
        <w:rPr>
          <w:rFonts w:ascii="Aptos Light" w:eastAsia="Aptos Light" w:hAnsi="Aptos Light" w:cs="Aptos Light"/>
          <w:b/>
          <w:bCs/>
          <w:color w:val="000000"/>
          <w:sz w:val="24"/>
          <w:szCs w:val="24"/>
          <w:lang w:val="it-IT"/>
        </w:rPr>
        <w:t>Decorrenza della concessione e avvio del servizio</w:t>
      </w:r>
    </w:p>
    <w:p w14:paraId="3EA4F03B" w14:textId="389FCFBA" w:rsidR="00273B0A" w:rsidRPr="00273B0A" w:rsidRDefault="00273B0A" w:rsidP="00273B0A">
      <w:pPr>
        <w:pBdr>
          <w:top w:val="nil"/>
          <w:left w:val="nil"/>
          <w:bottom w:val="nil"/>
          <w:right w:val="nil"/>
          <w:between w:val="nil"/>
        </w:pBdr>
        <w:spacing w:before="240"/>
        <w:jc w:val="both"/>
        <w:rPr>
          <w:rFonts w:ascii="Aptos Light" w:eastAsia="Aptos Light" w:hAnsi="Aptos Light" w:cs="Aptos Light"/>
          <w:color w:val="000000"/>
          <w:sz w:val="24"/>
          <w:szCs w:val="24"/>
          <w:lang w:val="it-IT"/>
        </w:rPr>
      </w:pPr>
      <w:r w:rsidRPr="00273B0A">
        <w:rPr>
          <w:rFonts w:ascii="Aptos Light" w:eastAsia="Aptos Light" w:hAnsi="Aptos Light" w:cs="Aptos Light"/>
          <w:color w:val="000000"/>
          <w:sz w:val="24"/>
          <w:szCs w:val="24"/>
          <w:lang w:val="it-IT"/>
        </w:rPr>
        <w:t xml:space="preserve">La durata della concessione decorre dalla data di effettiva consegna del servizio al concessionario, risultante da apposito verbale di consegna redatto e sottoscritto dalle </w:t>
      </w:r>
      <w:r>
        <w:rPr>
          <w:rFonts w:ascii="Aptos Light" w:eastAsia="Aptos Light" w:hAnsi="Aptos Light" w:cs="Aptos Light"/>
          <w:color w:val="000000"/>
          <w:sz w:val="24"/>
          <w:szCs w:val="24"/>
          <w:lang w:val="it-IT"/>
        </w:rPr>
        <w:t>P</w:t>
      </w:r>
      <w:r w:rsidRPr="00273B0A">
        <w:rPr>
          <w:rFonts w:ascii="Aptos Light" w:eastAsia="Aptos Light" w:hAnsi="Aptos Light" w:cs="Aptos Light"/>
          <w:color w:val="000000"/>
          <w:sz w:val="24"/>
          <w:szCs w:val="24"/>
          <w:lang w:val="it-IT"/>
        </w:rPr>
        <w:t>arti.</w:t>
      </w:r>
    </w:p>
    <w:p w14:paraId="58A0EDDD" w14:textId="7E13E037" w:rsidR="00273B0A" w:rsidRPr="00273B0A" w:rsidRDefault="00273B0A" w:rsidP="00273B0A">
      <w:pPr>
        <w:pBdr>
          <w:top w:val="nil"/>
          <w:left w:val="nil"/>
          <w:bottom w:val="nil"/>
          <w:right w:val="nil"/>
          <w:between w:val="nil"/>
        </w:pBdr>
        <w:spacing w:before="240"/>
        <w:jc w:val="both"/>
        <w:rPr>
          <w:rFonts w:ascii="Aptos Light" w:eastAsia="Aptos Light" w:hAnsi="Aptos Light" w:cs="Aptos Light"/>
          <w:color w:val="000000"/>
          <w:sz w:val="24"/>
          <w:szCs w:val="24"/>
          <w:lang w:val="it-IT"/>
        </w:rPr>
      </w:pPr>
      <w:r w:rsidRPr="00273B0A">
        <w:rPr>
          <w:rFonts w:ascii="Aptos Light" w:eastAsia="Aptos Light" w:hAnsi="Aptos Light" w:cs="Aptos Light"/>
          <w:color w:val="000000"/>
          <w:sz w:val="24"/>
          <w:szCs w:val="24"/>
          <w:lang w:val="it-IT"/>
        </w:rPr>
        <w:t>La consegna del servizio potrà avvenire anche in via d’urgenza, nelle more della stipula del contratto, qualora ne ricorrano i presupposti di legge e per motivate esigenze dell’</w:t>
      </w:r>
      <w:r>
        <w:rPr>
          <w:rFonts w:ascii="Aptos Light" w:eastAsia="Aptos Light" w:hAnsi="Aptos Light" w:cs="Aptos Light"/>
          <w:color w:val="000000"/>
          <w:sz w:val="24"/>
          <w:szCs w:val="24"/>
          <w:lang w:val="it-IT"/>
        </w:rPr>
        <w:t>Ente concedente</w:t>
      </w:r>
      <w:r w:rsidRPr="00273B0A">
        <w:rPr>
          <w:rFonts w:ascii="Aptos Light" w:eastAsia="Aptos Light" w:hAnsi="Aptos Light" w:cs="Aptos Light"/>
          <w:color w:val="000000"/>
          <w:sz w:val="24"/>
          <w:szCs w:val="24"/>
          <w:lang w:val="it-IT"/>
        </w:rPr>
        <w:t>.</w:t>
      </w:r>
    </w:p>
    <w:p w14:paraId="30D20D61" w14:textId="77777777" w:rsidR="00273B0A" w:rsidRPr="00273B0A" w:rsidRDefault="00273B0A" w:rsidP="00273B0A">
      <w:pPr>
        <w:pBdr>
          <w:top w:val="nil"/>
          <w:left w:val="nil"/>
          <w:bottom w:val="nil"/>
          <w:right w:val="nil"/>
          <w:between w:val="nil"/>
        </w:pBdr>
        <w:spacing w:before="240"/>
        <w:jc w:val="both"/>
        <w:rPr>
          <w:rFonts w:ascii="Aptos Light" w:eastAsia="Aptos Light" w:hAnsi="Aptos Light" w:cs="Aptos Light"/>
          <w:color w:val="000000"/>
          <w:sz w:val="24"/>
          <w:szCs w:val="24"/>
          <w:lang w:val="it-IT"/>
        </w:rPr>
      </w:pPr>
      <w:r w:rsidRPr="00273B0A">
        <w:rPr>
          <w:rFonts w:ascii="Aptos Light" w:eastAsia="Aptos Light" w:hAnsi="Aptos Light" w:cs="Aptos Light"/>
          <w:color w:val="000000"/>
          <w:sz w:val="24"/>
          <w:szCs w:val="24"/>
          <w:lang w:val="it-IT"/>
        </w:rPr>
        <w:t xml:space="preserve">A partire dalla data di consegna del servizio, il concessionario è tenuto ad assicurare l’avvio e la piena operatività delle attività oggetto della concessione, assumendo ogni onere gestionale, </w:t>
      </w:r>
      <w:r w:rsidRPr="00273B0A">
        <w:rPr>
          <w:rFonts w:ascii="Aptos Light" w:eastAsia="Aptos Light" w:hAnsi="Aptos Light" w:cs="Aptos Light"/>
          <w:color w:val="000000"/>
          <w:sz w:val="24"/>
          <w:szCs w:val="24"/>
          <w:lang w:val="it-IT"/>
        </w:rPr>
        <w:lastRenderedPageBreak/>
        <w:t>organizzativo e operativo previsto dal presente capitolato e dall’offerta presentata in sede di gara.</w:t>
      </w:r>
    </w:p>
    <w:p w14:paraId="3209E5D6" w14:textId="7B7AE206" w:rsidR="00273B0A" w:rsidRPr="00273B0A" w:rsidRDefault="00273B0A">
      <w:pPr>
        <w:pBdr>
          <w:top w:val="nil"/>
          <w:left w:val="nil"/>
          <w:bottom w:val="nil"/>
          <w:right w:val="nil"/>
          <w:between w:val="nil"/>
        </w:pBdr>
        <w:spacing w:before="240"/>
        <w:jc w:val="both"/>
        <w:rPr>
          <w:rFonts w:ascii="Aptos Light" w:eastAsia="Aptos Light" w:hAnsi="Aptos Light" w:cs="Aptos Light"/>
          <w:color w:val="000000"/>
          <w:sz w:val="24"/>
          <w:szCs w:val="24"/>
          <w:lang w:val="it-IT"/>
        </w:rPr>
      </w:pPr>
      <w:r w:rsidRPr="00273B0A">
        <w:rPr>
          <w:rFonts w:ascii="Aptos Light" w:eastAsia="Aptos Light" w:hAnsi="Aptos Light" w:cs="Aptos Light"/>
          <w:color w:val="000000"/>
          <w:sz w:val="24"/>
          <w:szCs w:val="24"/>
          <w:lang w:val="it-IT"/>
        </w:rPr>
        <w:t>La durata complessiva della concessione sarà calcolata a decorrere dalla suddetta data di consegna del servizio.</w:t>
      </w:r>
    </w:p>
    <w:bookmarkEnd w:id="0"/>
    <w:p w14:paraId="3FB7F99F" w14:textId="77777777" w:rsidR="004719AC" w:rsidRDefault="00000000">
      <w:pPr>
        <w:pStyle w:val="Titolo1"/>
        <w:spacing w:before="240"/>
        <w:ind w:left="0"/>
        <w:jc w:val="both"/>
        <w:rPr>
          <w:rFonts w:ascii="Aptos Light" w:eastAsia="Aptos Light" w:hAnsi="Aptos Light" w:cs="Aptos Light"/>
        </w:rPr>
      </w:pPr>
      <w:r>
        <w:rPr>
          <w:rFonts w:ascii="Aptos Light" w:eastAsia="Aptos Light" w:hAnsi="Aptos Light" w:cs="Aptos Light"/>
        </w:rPr>
        <w:t>Art. 3 Oneri del concessionario</w:t>
      </w:r>
    </w:p>
    <w:p w14:paraId="0FF0206E" w14:textId="77777777" w:rsidR="004719AC" w:rsidRDefault="00000000">
      <w:pPr>
        <w:numPr>
          <w:ilvl w:val="1"/>
          <w:numId w:val="1"/>
        </w:numPr>
        <w:pBdr>
          <w:top w:val="nil"/>
          <w:left w:val="nil"/>
          <w:bottom w:val="nil"/>
          <w:right w:val="nil"/>
          <w:between w:val="nil"/>
        </w:pBdr>
        <w:tabs>
          <w:tab w:val="left" w:pos="399"/>
        </w:tabs>
        <w:spacing w:before="240"/>
        <w:jc w:val="both"/>
        <w:rPr>
          <w:rFonts w:ascii="Aptos Light" w:eastAsia="Aptos Light" w:hAnsi="Aptos Light" w:cs="Aptos Light"/>
          <w:b/>
          <w:color w:val="000000"/>
          <w:sz w:val="24"/>
          <w:szCs w:val="24"/>
        </w:rPr>
      </w:pPr>
      <w:r>
        <w:rPr>
          <w:rFonts w:ascii="Aptos Light" w:eastAsia="Aptos Light" w:hAnsi="Aptos Light" w:cs="Aptos Light"/>
          <w:b/>
          <w:color w:val="000000"/>
          <w:sz w:val="24"/>
          <w:szCs w:val="24"/>
        </w:rPr>
        <w:t xml:space="preserve">Servizi e prestazioni di base </w:t>
      </w:r>
    </w:p>
    <w:p w14:paraId="0A18E35F" w14:textId="77777777" w:rsidR="004719AC" w:rsidRDefault="00000000">
      <w:pPr>
        <w:pBdr>
          <w:top w:val="nil"/>
          <w:left w:val="nil"/>
          <w:bottom w:val="nil"/>
          <w:right w:val="nil"/>
          <w:between w:val="nil"/>
        </w:pBdr>
        <w:spacing w:before="24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Il Concessionario dovrà erogare i servizi e le prestazioni individuati al precedente art. 1, Par. 1.4.</w:t>
      </w:r>
    </w:p>
    <w:p w14:paraId="77D76AF5" w14:textId="77777777" w:rsidR="004719AC" w:rsidRDefault="00000000">
      <w:pPr>
        <w:pStyle w:val="Titolo1"/>
        <w:numPr>
          <w:ilvl w:val="1"/>
          <w:numId w:val="1"/>
        </w:numPr>
        <w:tabs>
          <w:tab w:val="left" w:pos="413"/>
        </w:tabs>
        <w:spacing w:before="240"/>
        <w:jc w:val="both"/>
        <w:rPr>
          <w:rFonts w:ascii="Aptos Light" w:eastAsia="Aptos Light" w:hAnsi="Aptos Light" w:cs="Aptos Light"/>
        </w:rPr>
      </w:pPr>
      <w:r>
        <w:rPr>
          <w:rFonts w:ascii="Aptos Light" w:eastAsia="Aptos Light" w:hAnsi="Aptos Light" w:cs="Aptos Light"/>
        </w:rPr>
        <w:t>Oneri di natura tecnica ed economica</w:t>
      </w:r>
    </w:p>
    <w:p w14:paraId="1E2F22BB" w14:textId="7F216E76" w:rsidR="004719AC" w:rsidRDefault="00000000" w:rsidP="000755C2">
      <w:pPr>
        <w:pBdr>
          <w:top w:val="nil"/>
          <w:left w:val="nil"/>
          <w:bottom w:val="nil"/>
          <w:right w:val="nil"/>
          <w:between w:val="nil"/>
        </w:pBdr>
        <w:tabs>
          <w:tab w:val="left" w:pos="8647"/>
        </w:tabs>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In via preliminare si evidenzia che l’impianto sportivo è accettato come tale dall’</w:t>
      </w:r>
      <w:r w:rsidR="000755C2">
        <w:rPr>
          <w:rFonts w:ascii="Aptos Light" w:eastAsia="Aptos Light" w:hAnsi="Aptos Light" w:cs="Aptos Light"/>
          <w:color w:val="000000"/>
          <w:sz w:val="24"/>
          <w:szCs w:val="24"/>
        </w:rPr>
        <w:t>O</w:t>
      </w:r>
      <w:r>
        <w:rPr>
          <w:rFonts w:ascii="Aptos Light" w:eastAsia="Aptos Light" w:hAnsi="Aptos Light" w:cs="Aptos Light"/>
          <w:color w:val="000000"/>
          <w:sz w:val="24"/>
          <w:szCs w:val="24"/>
        </w:rPr>
        <w:t>peratore</w:t>
      </w:r>
      <w:r w:rsidR="00273B0A">
        <w:rPr>
          <w:rFonts w:ascii="Aptos Light" w:eastAsia="Aptos Light" w:hAnsi="Aptos Light" w:cs="Aptos Light"/>
          <w:color w:val="000000"/>
          <w:sz w:val="24"/>
          <w:szCs w:val="24"/>
        </w:rPr>
        <w:t xml:space="preserve"> </w:t>
      </w:r>
      <w:r w:rsidR="000755C2">
        <w:rPr>
          <w:rFonts w:ascii="Aptos Light" w:eastAsia="Aptos Light" w:hAnsi="Aptos Light" w:cs="Aptos Light"/>
          <w:color w:val="000000"/>
          <w:sz w:val="24"/>
          <w:szCs w:val="24"/>
        </w:rPr>
        <w:t>E</w:t>
      </w:r>
      <w:r>
        <w:rPr>
          <w:rFonts w:ascii="Aptos Light" w:eastAsia="Aptos Light" w:hAnsi="Aptos Light" w:cs="Aptos Light"/>
          <w:color w:val="000000"/>
          <w:sz w:val="24"/>
          <w:szCs w:val="24"/>
        </w:rPr>
        <w:t>conomico concorrente, che ha l’obbligo di effettuare un sopralluogo, verificare lo stato della struttura e dei suoi impianti, che vengono espressamente accettati come tali.</w:t>
      </w:r>
    </w:p>
    <w:p w14:paraId="11541ECD" w14:textId="77777777" w:rsidR="004719AC" w:rsidRDefault="00000000" w:rsidP="000755C2">
      <w:pPr>
        <w:pBdr>
          <w:top w:val="nil"/>
          <w:left w:val="nil"/>
          <w:bottom w:val="nil"/>
          <w:right w:val="nil"/>
          <w:between w:val="nil"/>
        </w:pBdr>
        <w:tabs>
          <w:tab w:val="left" w:pos="8647"/>
        </w:tabs>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Ricadranno sul Concessionario tutte le spese inerenti alla gestione dell’intera struttura, per tutta la durata della concessione, con espressa possibilità di richiedere da parte del Concessionario, per ciascuna annualità contrattuale, lo scomputo di qualsiasi spesa entro il limite massimo del valore economico dal canone concessorio annuale.</w:t>
      </w:r>
    </w:p>
    <w:p w14:paraId="632E6128" w14:textId="77777777" w:rsidR="004719AC" w:rsidRDefault="00000000" w:rsidP="000755C2">
      <w:pPr>
        <w:pBdr>
          <w:top w:val="nil"/>
          <w:left w:val="nil"/>
          <w:bottom w:val="nil"/>
          <w:right w:val="nil"/>
          <w:between w:val="nil"/>
        </w:pBdr>
        <w:tabs>
          <w:tab w:val="left" w:pos="8647"/>
        </w:tabs>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In particolare, a titolo meramente esemplificativo e non esaustivo, viene fatto riferimento alle spese relative a:</w:t>
      </w:r>
    </w:p>
    <w:p w14:paraId="05522EB3" w14:textId="77777777" w:rsidR="004719AC" w:rsidRDefault="00000000" w:rsidP="000755C2">
      <w:pPr>
        <w:numPr>
          <w:ilvl w:val="1"/>
          <w:numId w:val="18"/>
        </w:numPr>
        <w:pBdr>
          <w:top w:val="nil"/>
          <w:left w:val="nil"/>
          <w:bottom w:val="nil"/>
          <w:right w:val="nil"/>
          <w:between w:val="nil"/>
        </w:pBdr>
        <w:tabs>
          <w:tab w:val="left" w:pos="1142"/>
          <w:tab w:val="left" w:pos="8647"/>
        </w:tabs>
        <w:spacing w:before="240"/>
        <w:ind w:left="1142" w:right="3" w:hanging="358"/>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manutenzione ordinaria e straordinaria, la manutenzione degli impianti, la sistemazione degli spazi interni ed esterni;</w:t>
      </w:r>
    </w:p>
    <w:p w14:paraId="3CD64379" w14:textId="77777777" w:rsidR="004719AC" w:rsidRDefault="00000000" w:rsidP="000755C2">
      <w:pPr>
        <w:numPr>
          <w:ilvl w:val="1"/>
          <w:numId w:val="18"/>
        </w:numPr>
        <w:pBdr>
          <w:top w:val="nil"/>
          <w:left w:val="nil"/>
          <w:bottom w:val="nil"/>
          <w:right w:val="nil"/>
          <w:between w:val="nil"/>
        </w:pBdr>
        <w:tabs>
          <w:tab w:val="left" w:pos="1145"/>
          <w:tab w:val="left" w:pos="8647"/>
        </w:tabs>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voltura delle utenze (acqua, energia elettrica, gas) e fruizione dei consumi;</w:t>
      </w:r>
    </w:p>
    <w:p w14:paraId="02E74683" w14:textId="77777777" w:rsidR="004719AC" w:rsidRDefault="00000000" w:rsidP="000755C2">
      <w:pPr>
        <w:numPr>
          <w:ilvl w:val="1"/>
          <w:numId w:val="18"/>
        </w:numPr>
        <w:pBdr>
          <w:top w:val="nil"/>
          <w:left w:val="nil"/>
          <w:bottom w:val="nil"/>
          <w:right w:val="nil"/>
          <w:between w:val="nil"/>
        </w:pBdr>
        <w:tabs>
          <w:tab w:val="left" w:pos="1145"/>
          <w:tab w:val="left" w:pos="8647"/>
        </w:tabs>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costi dei materiali di consumo (filtri, ecc.);</w:t>
      </w:r>
    </w:p>
    <w:p w14:paraId="7D88C2FD" w14:textId="77777777" w:rsidR="004719AC" w:rsidRDefault="00000000">
      <w:pPr>
        <w:numPr>
          <w:ilvl w:val="1"/>
          <w:numId w:val="18"/>
        </w:numPr>
        <w:pBdr>
          <w:top w:val="nil"/>
          <w:left w:val="nil"/>
          <w:bottom w:val="nil"/>
          <w:right w:val="nil"/>
          <w:between w:val="nil"/>
        </w:pBdr>
        <w:tabs>
          <w:tab w:val="left" w:pos="1145"/>
        </w:tabs>
        <w:spacing w:before="24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costi di pulizia e sanificazione;</w:t>
      </w:r>
    </w:p>
    <w:p w14:paraId="02AD54FC" w14:textId="77777777" w:rsidR="004719AC" w:rsidRDefault="00000000">
      <w:pPr>
        <w:numPr>
          <w:ilvl w:val="1"/>
          <w:numId w:val="18"/>
        </w:numPr>
        <w:pBdr>
          <w:top w:val="nil"/>
          <w:left w:val="nil"/>
          <w:bottom w:val="nil"/>
          <w:right w:val="nil"/>
          <w:between w:val="nil"/>
        </w:pBdr>
        <w:tabs>
          <w:tab w:val="left" w:pos="1145"/>
        </w:tabs>
        <w:spacing w:before="24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costi del personale;</w:t>
      </w:r>
    </w:p>
    <w:p w14:paraId="4EA1EF55" w14:textId="77777777" w:rsidR="004719AC" w:rsidRDefault="00000000">
      <w:pPr>
        <w:numPr>
          <w:ilvl w:val="1"/>
          <w:numId w:val="18"/>
        </w:numPr>
        <w:pBdr>
          <w:top w:val="nil"/>
          <w:left w:val="nil"/>
          <w:bottom w:val="nil"/>
          <w:right w:val="nil"/>
          <w:between w:val="nil"/>
        </w:pBdr>
        <w:tabs>
          <w:tab w:val="left" w:pos="1145"/>
        </w:tabs>
        <w:spacing w:before="24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costi della sicurezza;</w:t>
      </w:r>
    </w:p>
    <w:p w14:paraId="35677B08" w14:textId="77777777" w:rsidR="004719AC" w:rsidRDefault="00000000">
      <w:pPr>
        <w:numPr>
          <w:ilvl w:val="1"/>
          <w:numId w:val="18"/>
        </w:numPr>
        <w:pBdr>
          <w:top w:val="nil"/>
          <w:left w:val="nil"/>
          <w:bottom w:val="nil"/>
          <w:right w:val="nil"/>
          <w:between w:val="nil"/>
        </w:pBdr>
        <w:tabs>
          <w:tab w:val="left" w:pos="1145"/>
        </w:tabs>
        <w:spacing w:before="24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costi di sorveglianza e custodia;</w:t>
      </w:r>
    </w:p>
    <w:p w14:paraId="5DE7A2A5" w14:textId="77777777" w:rsidR="004719AC" w:rsidRDefault="00000000">
      <w:pPr>
        <w:numPr>
          <w:ilvl w:val="1"/>
          <w:numId w:val="18"/>
        </w:numPr>
        <w:pBdr>
          <w:top w:val="nil"/>
          <w:left w:val="nil"/>
          <w:bottom w:val="nil"/>
          <w:right w:val="nil"/>
          <w:between w:val="nil"/>
        </w:pBdr>
        <w:tabs>
          <w:tab w:val="left" w:pos="1145"/>
        </w:tabs>
        <w:spacing w:before="24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costi, spese, tasse e imposte per il rilascio di permessi e quant’altro necessario per la corretta conduzione dell’impianto;</w:t>
      </w:r>
    </w:p>
    <w:p w14:paraId="1A576B63" w14:textId="77777777" w:rsidR="004719AC" w:rsidRDefault="00000000">
      <w:pPr>
        <w:numPr>
          <w:ilvl w:val="1"/>
          <w:numId w:val="18"/>
        </w:numPr>
        <w:pBdr>
          <w:top w:val="nil"/>
          <w:left w:val="nil"/>
          <w:bottom w:val="nil"/>
          <w:right w:val="nil"/>
          <w:between w:val="nil"/>
        </w:pBdr>
        <w:tabs>
          <w:tab w:val="left" w:pos="1145"/>
        </w:tabs>
        <w:spacing w:before="24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tutti i tributi comunali;</w:t>
      </w:r>
    </w:p>
    <w:p w14:paraId="26BF6778" w14:textId="77777777" w:rsidR="004719AC" w:rsidRDefault="00000000">
      <w:pPr>
        <w:numPr>
          <w:ilvl w:val="1"/>
          <w:numId w:val="18"/>
        </w:numPr>
        <w:pBdr>
          <w:top w:val="nil"/>
          <w:left w:val="nil"/>
          <w:bottom w:val="nil"/>
          <w:right w:val="nil"/>
          <w:between w:val="nil"/>
        </w:pBdr>
        <w:tabs>
          <w:tab w:val="left" w:pos="1145"/>
        </w:tabs>
        <w:spacing w:before="24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certificazioni previste dalla normativa vigente.</w:t>
      </w:r>
    </w:p>
    <w:p w14:paraId="17F12A68" w14:textId="2EBCA5E8" w:rsidR="00DE0B49"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highlight w:val="yellow"/>
        </w:rPr>
      </w:pPr>
      <w:r>
        <w:rPr>
          <w:rFonts w:ascii="Aptos Light" w:eastAsia="Aptos Light" w:hAnsi="Aptos Light" w:cs="Aptos Light"/>
          <w:color w:val="000000"/>
          <w:sz w:val="24"/>
          <w:szCs w:val="24"/>
        </w:rPr>
        <w:t xml:space="preserve">Il </w:t>
      </w:r>
      <w:r w:rsidRPr="00DE0B49">
        <w:rPr>
          <w:rFonts w:ascii="Aptos Light" w:eastAsia="Aptos Light" w:hAnsi="Aptos Light" w:cs="Aptos Light"/>
          <w:color w:val="000000"/>
          <w:sz w:val="24"/>
          <w:szCs w:val="24"/>
        </w:rPr>
        <w:t xml:space="preserve">canone concessorio </w:t>
      </w:r>
      <w:r w:rsidR="00DE0B49" w:rsidRPr="00DE0B49">
        <w:rPr>
          <w:rFonts w:ascii="Aptos Light" w:eastAsia="Aptos Light" w:hAnsi="Aptos Light" w:cs="Aptos Light"/>
          <w:color w:val="000000"/>
          <w:sz w:val="24"/>
          <w:szCs w:val="24"/>
        </w:rPr>
        <w:t>annual</w:t>
      </w:r>
      <w:r w:rsidRPr="00DE0B49">
        <w:rPr>
          <w:rFonts w:ascii="Aptos Light" w:eastAsia="Aptos Light" w:hAnsi="Aptos Light" w:cs="Aptos Light"/>
          <w:color w:val="000000"/>
          <w:sz w:val="24"/>
          <w:szCs w:val="24"/>
        </w:rPr>
        <w:t xml:space="preserve">e che il </w:t>
      </w:r>
      <w:r w:rsidR="00F93826">
        <w:rPr>
          <w:rFonts w:ascii="Aptos Light" w:eastAsia="Aptos Light" w:hAnsi="Aptos Light" w:cs="Aptos Light"/>
          <w:color w:val="000000"/>
          <w:sz w:val="24"/>
          <w:szCs w:val="24"/>
        </w:rPr>
        <w:t>C</w:t>
      </w:r>
      <w:r w:rsidRPr="00DE0B49">
        <w:rPr>
          <w:rFonts w:ascii="Aptos Light" w:eastAsia="Aptos Light" w:hAnsi="Aptos Light" w:cs="Aptos Light"/>
          <w:color w:val="000000"/>
          <w:sz w:val="24"/>
          <w:szCs w:val="24"/>
        </w:rPr>
        <w:t xml:space="preserve">oncessionario dovrà corrispondere all’Ente concedente sarà quello offerto in sede di gara, che dovrà essere superiore all’importo a base d’asta fissato in € </w:t>
      </w:r>
      <w:r w:rsidR="00DE0B49">
        <w:rPr>
          <w:rFonts w:ascii="Aptos Light" w:eastAsia="Aptos Light" w:hAnsi="Aptos Light" w:cs="Aptos Light"/>
          <w:color w:val="000000"/>
          <w:sz w:val="24"/>
          <w:szCs w:val="24"/>
        </w:rPr>
        <w:t>3.318,52</w:t>
      </w:r>
      <w:r w:rsidRPr="00DE0B49">
        <w:rPr>
          <w:rFonts w:ascii="Aptos Light" w:eastAsia="Aptos Light" w:hAnsi="Aptos Light" w:cs="Aptos Light"/>
          <w:color w:val="000000"/>
          <w:sz w:val="24"/>
          <w:szCs w:val="24"/>
        </w:rPr>
        <w:t xml:space="preserve"> /anno oltre IVA ove dovuta, come risultante </w:t>
      </w:r>
      <w:r w:rsidR="00DE0B49" w:rsidRPr="00DE0B49">
        <w:rPr>
          <w:rFonts w:ascii="Aptos Light" w:eastAsia="Aptos Light" w:hAnsi="Aptos Light" w:cs="Aptos Light"/>
          <w:color w:val="000000"/>
          <w:sz w:val="24"/>
          <w:szCs w:val="24"/>
        </w:rPr>
        <w:t>dagli atti approvati dal Consiglio Comunale con deliberazione n. 24 del 18/11/2025.</w:t>
      </w:r>
    </w:p>
    <w:p w14:paraId="19F49A05" w14:textId="77777777" w:rsidR="004719AC" w:rsidRDefault="00000000">
      <w:pPr>
        <w:pStyle w:val="Titolo2"/>
        <w:tabs>
          <w:tab w:val="left" w:pos="1524"/>
        </w:tabs>
        <w:spacing w:before="240"/>
        <w:jc w:val="both"/>
        <w:rPr>
          <w:rFonts w:ascii="Aptos Light" w:eastAsia="Aptos Light" w:hAnsi="Aptos Light" w:cs="Aptos Light"/>
          <w:sz w:val="24"/>
          <w:szCs w:val="24"/>
        </w:rPr>
      </w:pPr>
      <w:r>
        <w:rPr>
          <w:rFonts w:ascii="Aptos Light" w:eastAsia="Aptos Light" w:hAnsi="Aptos Light" w:cs="Aptos Light"/>
          <w:sz w:val="24"/>
          <w:szCs w:val="24"/>
        </w:rPr>
        <w:lastRenderedPageBreak/>
        <w:t>3.3 Rispetto della normativa vigente</w:t>
      </w:r>
    </w:p>
    <w:p w14:paraId="57C57B2C"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Tutte le attività che il Concessionario svolgerà all’interno dell’immobile oggetto della concessione, a cominciare dall’erogazione delle prestazioni e dei servizi di base, per finire allo svolgimento degli ulteriori servizi da offrire indicati nell’offerta tecnica, nonché all’eventuale esecuzione di lavori edili che dovessero rendersi necessari (tutti espressamente ed integralmente a carico del Concessionario) devono essere poste in essere nel rispetto di tutte le normative applicabili al caso.</w:t>
      </w:r>
    </w:p>
    <w:p w14:paraId="4E131A27"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A titolo esemplificativo e non esaustivo, dovranno essere rispettati i regolamenti comunali che disciplinano le materie interessate dalla presente convenzione; la normativa in materia edilizia, tra cui il D.P.R. 380/2001, la legislazione in materia di commercio e qualsiasi altra normativa qui non richiamata ma pur applicabile al caso di specie.</w:t>
      </w:r>
    </w:p>
    <w:p w14:paraId="4DDF3BD5"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Con particolare riferimento alla normativa dettata in tema di prevenzione di incendi, relativamente alla pratica antincendio dell’immobile adibito a piscina comunale, si precisa che essa è a carico del Concessionario.</w:t>
      </w:r>
    </w:p>
    <w:p w14:paraId="08074947" w14:textId="77777777" w:rsidR="004719AC" w:rsidRDefault="00000000">
      <w:pPr>
        <w:pBdr>
          <w:top w:val="nil"/>
          <w:left w:val="nil"/>
          <w:bottom w:val="nil"/>
          <w:right w:val="nil"/>
          <w:between w:val="nil"/>
        </w:pBdr>
        <w:spacing w:before="240"/>
        <w:ind w:right="841"/>
        <w:jc w:val="both"/>
        <w:rPr>
          <w:rFonts w:ascii="Aptos Light" w:eastAsia="Aptos Light" w:hAnsi="Aptos Light" w:cs="Aptos Light"/>
          <w:b/>
          <w:color w:val="000000"/>
          <w:sz w:val="24"/>
          <w:szCs w:val="24"/>
        </w:rPr>
      </w:pPr>
      <w:r>
        <w:rPr>
          <w:rFonts w:ascii="Aptos Light" w:eastAsia="Aptos Light" w:hAnsi="Aptos Light" w:cs="Aptos Light"/>
          <w:b/>
          <w:color w:val="000000"/>
          <w:sz w:val="24"/>
          <w:szCs w:val="24"/>
        </w:rPr>
        <w:t>3.4 Oneri accessori</w:t>
      </w:r>
    </w:p>
    <w:p w14:paraId="1A92D5AD" w14:textId="77777777" w:rsidR="004719AC" w:rsidRDefault="00000000">
      <w:pPr>
        <w:pBdr>
          <w:top w:val="nil"/>
          <w:left w:val="nil"/>
          <w:bottom w:val="nil"/>
          <w:right w:val="nil"/>
          <w:between w:val="nil"/>
        </w:pBdr>
        <w:spacing w:before="240"/>
        <w:jc w:val="both"/>
        <w:rPr>
          <w:rFonts w:ascii="Aptos Light" w:eastAsia="Aptos Light" w:hAnsi="Aptos Light" w:cs="Aptos Light"/>
          <w:color w:val="000000"/>
          <w:sz w:val="24"/>
          <w:szCs w:val="24"/>
        </w:rPr>
      </w:pPr>
      <w:proofErr w:type="gramStart"/>
      <w:r>
        <w:rPr>
          <w:rFonts w:ascii="Aptos Light" w:eastAsia="Aptos Light" w:hAnsi="Aptos Light" w:cs="Aptos Light"/>
          <w:color w:val="000000"/>
          <w:sz w:val="24"/>
          <w:szCs w:val="24"/>
        </w:rPr>
        <w:t>E’</w:t>
      </w:r>
      <w:proofErr w:type="gramEnd"/>
      <w:r>
        <w:rPr>
          <w:rFonts w:ascii="Aptos Light" w:eastAsia="Aptos Light" w:hAnsi="Aptos Light" w:cs="Aptos Light"/>
          <w:color w:val="000000"/>
          <w:sz w:val="24"/>
          <w:szCs w:val="24"/>
        </w:rPr>
        <w:t>, altresì, obbligo a carico del Concessionario la presentazione all’Ente concedente, entro il 30 gennaio dell'anno successivo a quello di gestione, di una relazione annuale dalla quale risultino:</w:t>
      </w:r>
    </w:p>
    <w:p w14:paraId="46FB81FC" w14:textId="09DFBDE6" w:rsidR="00766DA1" w:rsidRDefault="00000000" w:rsidP="00766DA1">
      <w:pPr>
        <w:pStyle w:val="Paragrafoelenco"/>
        <w:numPr>
          <w:ilvl w:val="0"/>
          <w:numId w:val="20"/>
        </w:numPr>
        <w:pBdr>
          <w:top w:val="nil"/>
          <w:left w:val="nil"/>
          <w:bottom w:val="nil"/>
          <w:right w:val="nil"/>
          <w:between w:val="nil"/>
        </w:pBdr>
        <w:tabs>
          <w:tab w:val="left" w:pos="1145"/>
        </w:tabs>
        <w:spacing w:before="240"/>
        <w:ind w:right="841"/>
        <w:jc w:val="both"/>
        <w:rPr>
          <w:rFonts w:ascii="Aptos Light" w:eastAsia="Aptos Light" w:hAnsi="Aptos Light" w:cs="Aptos Light"/>
          <w:color w:val="000000"/>
          <w:sz w:val="24"/>
          <w:szCs w:val="24"/>
        </w:rPr>
      </w:pPr>
      <w:r w:rsidRPr="00766DA1">
        <w:rPr>
          <w:rFonts w:ascii="Aptos Light" w:eastAsia="Aptos Light" w:hAnsi="Aptos Light" w:cs="Aptos Light"/>
          <w:color w:val="000000"/>
          <w:sz w:val="24"/>
          <w:szCs w:val="24"/>
        </w:rPr>
        <w:t>stato manutentivo dell’impianto e delle attrezzature</w:t>
      </w:r>
      <w:r w:rsidR="00766DA1">
        <w:rPr>
          <w:rFonts w:ascii="Aptos Light" w:eastAsia="Aptos Light" w:hAnsi="Aptos Light" w:cs="Aptos Light"/>
          <w:color w:val="000000"/>
          <w:sz w:val="24"/>
          <w:szCs w:val="24"/>
        </w:rPr>
        <w:t>;</w:t>
      </w:r>
    </w:p>
    <w:p w14:paraId="293C8FBC" w14:textId="6784CF4F" w:rsidR="00766DA1" w:rsidRDefault="00000000" w:rsidP="00766DA1">
      <w:pPr>
        <w:pStyle w:val="Paragrafoelenco"/>
        <w:numPr>
          <w:ilvl w:val="0"/>
          <w:numId w:val="20"/>
        </w:numPr>
        <w:pBdr>
          <w:top w:val="nil"/>
          <w:left w:val="nil"/>
          <w:bottom w:val="nil"/>
          <w:right w:val="nil"/>
          <w:between w:val="nil"/>
        </w:pBdr>
        <w:tabs>
          <w:tab w:val="left" w:pos="1145"/>
        </w:tabs>
        <w:spacing w:before="240"/>
        <w:ind w:right="841"/>
        <w:jc w:val="both"/>
        <w:rPr>
          <w:rFonts w:ascii="Aptos Light" w:eastAsia="Aptos Light" w:hAnsi="Aptos Light" w:cs="Aptos Light"/>
          <w:color w:val="000000"/>
          <w:sz w:val="24"/>
          <w:szCs w:val="24"/>
        </w:rPr>
      </w:pPr>
      <w:r w:rsidRPr="00766DA1">
        <w:rPr>
          <w:rFonts w:ascii="Aptos Light" w:eastAsia="Aptos Light" w:hAnsi="Aptos Light" w:cs="Aptos Light"/>
          <w:color w:val="000000"/>
          <w:sz w:val="24"/>
          <w:szCs w:val="24"/>
        </w:rPr>
        <w:t>adempimenti posti in essere in tema di sicurezza</w:t>
      </w:r>
      <w:r w:rsidR="00766DA1">
        <w:rPr>
          <w:rFonts w:ascii="Aptos Light" w:eastAsia="Aptos Light" w:hAnsi="Aptos Light" w:cs="Aptos Light"/>
          <w:color w:val="000000"/>
          <w:sz w:val="24"/>
          <w:szCs w:val="24"/>
        </w:rPr>
        <w:t>;</w:t>
      </w:r>
    </w:p>
    <w:p w14:paraId="1A0A2D29" w14:textId="501CC0FF" w:rsidR="00766DA1" w:rsidRDefault="00000000" w:rsidP="00766DA1">
      <w:pPr>
        <w:pStyle w:val="Paragrafoelenco"/>
        <w:numPr>
          <w:ilvl w:val="0"/>
          <w:numId w:val="20"/>
        </w:numPr>
        <w:pBdr>
          <w:top w:val="nil"/>
          <w:left w:val="nil"/>
          <w:bottom w:val="nil"/>
          <w:right w:val="nil"/>
          <w:between w:val="nil"/>
        </w:pBdr>
        <w:tabs>
          <w:tab w:val="left" w:pos="1145"/>
        </w:tabs>
        <w:spacing w:before="240"/>
        <w:ind w:right="3"/>
        <w:jc w:val="both"/>
        <w:rPr>
          <w:rFonts w:ascii="Aptos Light" w:eastAsia="Aptos Light" w:hAnsi="Aptos Light" w:cs="Aptos Light"/>
          <w:color w:val="000000"/>
          <w:sz w:val="24"/>
          <w:szCs w:val="24"/>
        </w:rPr>
      </w:pPr>
      <w:r w:rsidRPr="00766DA1">
        <w:rPr>
          <w:rFonts w:ascii="Aptos Light" w:eastAsia="Aptos Light" w:hAnsi="Aptos Light" w:cs="Aptos Light"/>
          <w:color w:val="000000"/>
          <w:sz w:val="24"/>
          <w:szCs w:val="24"/>
        </w:rPr>
        <w:t>elenco degli interventi effettuati per i quali non è preventivamente richiesto il rilascio dell’autorizzazione dell’Ente concedente</w:t>
      </w:r>
      <w:r w:rsidR="00766DA1">
        <w:rPr>
          <w:rFonts w:ascii="Aptos Light" w:eastAsia="Aptos Light" w:hAnsi="Aptos Light" w:cs="Aptos Light"/>
          <w:color w:val="000000"/>
          <w:sz w:val="24"/>
          <w:szCs w:val="24"/>
        </w:rPr>
        <w:t>;</w:t>
      </w:r>
    </w:p>
    <w:p w14:paraId="0EBB6837" w14:textId="7A24D5DE" w:rsidR="00766DA1" w:rsidRDefault="00000000" w:rsidP="00766DA1">
      <w:pPr>
        <w:pStyle w:val="Paragrafoelenco"/>
        <w:numPr>
          <w:ilvl w:val="0"/>
          <w:numId w:val="20"/>
        </w:numPr>
        <w:pBdr>
          <w:top w:val="nil"/>
          <w:left w:val="nil"/>
          <w:bottom w:val="nil"/>
          <w:right w:val="nil"/>
          <w:between w:val="nil"/>
        </w:pBdr>
        <w:tabs>
          <w:tab w:val="left" w:pos="1145"/>
        </w:tabs>
        <w:spacing w:before="240"/>
        <w:ind w:right="841"/>
        <w:jc w:val="both"/>
        <w:rPr>
          <w:rFonts w:ascii="Aptos Light" w:eastAsia="Aptos Light" w:hAnsi="Aptos Light" w:cs="Aptos Light"/>
          <w:color w:val="000000"/>
          <w:sz w:val="24"/>
          <w:szCs w:val="24"/>
        </w:rPr>
      </w:pPr>
      <w:r w:rsidRPr="00766DA1">
        <w:rPr>
          <w:rFonts w:ascii="Aptos Light" w:eastAsia="Aptos Light" w:hAnsi="Aptos Light" w:cs="Aptos Light"/>
          <w:color w:val="000000"/>
          <w:sz w:val="24"/>
          <w:szCs w:val="24"/>
        </w:rPr>
        <w:t>elenco calendarizzato di tutti i servizi erogati</w:t>
      </w:r>
      <w:r w:rsidR="00766DA1">
        <w:rPr>
          <w:rFonts w:ascii="Aptos Light" w:eastAsia="Aptos Light" w:hAnsi="Aptos Light" w:cs="Aptos Light"/>
          <w:color w:val="000000"/>
          <w:sz w:val="24"/>
          <w:szCs w:val="24"/>
        </w:rPr>
        <w:t>;</w:t>
      </w:r>
      <w:r w:rsidRPr="00766DA1">
        <w:rPr>
          <w:rFonts w:ascii="Aptos Light" w:eastAsia="Aptos Light" w:hAnsi="Aptos Light" w:cs="Aptos Light"/>
          <w:color w:val="000000"/>
          <w:sz w:val="24"/>
          <w:szCs w:val="24"/>
        </w:rPr>
        <w:t xml:space="preserve"> </w:t>
      </w:r>
    </w:p>
    <w:p w14:paraId="6A8BA256" w14:textId="722DAC24" w:rsidR="00766DA1" w:rsidRDefault="00000000" w:rsidP="00766DA1">
      <w:pPr>
        <w:pStyle w:val="Paragrafoelenco"/>
        <w:numPr>
          <w:ilvl w:val="0"/>
          <w:numId w:val="20"/>
        </w:numPr>
        <w:pBdr>
          <w:top w:val="nil"/>
          <w:left w:val="nil"/>
          <w:bottom w:val="nil"/>
          <w:right w:val="nil"/>
          <w:between w:val="nil"/>
        </w:pBdr>
        <w:tabs>
          <w:tab w:val="left" w:pos="1145"/>
        </w:tabs>
        <w:spacing w:before="240"/>
        <w:ind w:right="841"/>
        <w:jc w:val="both"/>
        <w:rPr>
          <w:rFonts w:ascii="Aptos Light" w:eastAsia="Aptos Light" w:hAnsi="Aptos Light" w:cs="Aptos Light"/>
          <w:color w:val="000000"/>
          <w:sz w:val="24"/>
          <w:szCs w:val="24"/>
        </w:rPr>
      </w:pPr>
      <w:r w:rsidRPr="00766DA1">
        <w:rPr>
          <w:rFonts w:ascii="Aptos Light" w:eastAsia="Aptos Light" w:hAnsi="Aptos Light" w:cs="Aptos Light"/>
          <w:color w:val="000000"/>
          <w:sz w:val="24"/>
          <w:szCs w:val="24"/>
        </w:rPr>
        <w:t>consistenza e tipologia di utenza</w:t>
      </w:r>
      <w:r w:rsidR="00766DA1">
        <w:rPr>
          <w:rFonts w:ascii="Aptos Light" w:eastAsia="Aptos Light" w:hAnsi="Aptos Light" w:cs="Aptos Light"/>
          <w:color w:val="000000"/>
          <w:sz w:val="24"/>
          <w:szCs w:val="24"/>
        </w:rPr>
        <w:t>;</w:t>
      </w:r>
    </w:p>
    <w:p w14:paraId="6FCF022E" w14:textId="77777777" w:rsidR="00766DA1" w:rsidRPr="00766DA1" w:rsidRDefault="00000000" w:rsidP="00766DA1">
      <w:pPr>
        <w:pStyle w:val="Paragrafoelenco"/>
        <w:numPr>
          <w:ilvl w:val="0"/>
          <w:numId w:val="20"/>
        </w:numPr>
        <w:pBdr>
          <w:top w:val="nil"/>
          <w:left w:val="nil"/>
          <w:bottom w:val="nil"/>
          <w:right w:val="nil"/>
          <w:between w:val="nil"/>
        </w:pBdr>
        <w:tabs>
          <w:tab w:val="left" w:pos="1145"/>
        </w:tabs>
        <w:spacing w:before="240"/>
        <w:ind w:right="3"/>
        <w:jc w:val="both"/>
        <w:rPr>
          <w:rFonts w:ascii="Aptos Light" w:eastAsia="Aptos Light" w:hAnsi="Aptos Light" w:cs="Aptos Light"/>
          <w:sz w:val="24"/>
          <w:szCs w:val="24"/>
          <w:u w:val="single"/>
        </w:rPr>
      </w:pPr>
      <w:r w:rsidRPr="00766DA1">
        <w:rPr>
          <w:rFonts w:ascii="Aptos Light" w:eastAsia="Aptos Light" w:hAnsi="Aptos Light" w:cs="Aptos Light"/>
          <w:color w:val="000000"/>
          <w:sz w:val="24"/>
          <w:szCs w:val="24"/>
        </w:rPr>
        <w:t>qualunque altra informazione utile ai fini della valutazione della gestione</w:t>
      </w:r>
      <w:r w:rsidR="00766DA1" w:rsidRPr="00766DA1">
        <w:rPr>
          <w:rFonts w:ascii="Aptos Light" w:eastAsia="Aptos Light" w:hAnsi="Aptos Light" w:cs="Aptos Light"/>
          <w:color w:val="000000"/>
          <w:sz w:val="24"/>
          <w:szCs w:val="24"/>
        </w:rPr>
        <w:t>.</w:t>
      </w:r>
      <w:bookmarkStart w:id="1" w:name="_Hlk223600367"/>
    </w:p>
    <w:p w14:paraId="3C1218D5" w14:textId="165C5900" w:rsidR="004719AC" w:rsidRPr="00766DA1" w:rsidRDefault="00000000" w:rsidP="00766DA1">
      <w:pPr>
        <w:pBdr>
          <w:top w:val="nil"/>
          <w:left w:val="nil"/>
          <w:bottom w:val="nil"/>
          <w:right w:val="nil"/>
          <w:between w:val="nil"/>
        </w:pBdr>
        <w:tabs>
          <w:tab w:val="left" w:pos="1145"/>
        </w:tabs>
        <w:spacing w:before="240"/>
        <w:ind w:right="3"/>
        <w:jc w:val="both"/>
        <w:rPr>
          <w:rFonts w:ascii="Aptos Light" w:eastAsia="Aptos Light" w:hAnsi="Aptos Light" w:cs="Aptos Light"/>
          <w:b/>
          <w:bCs/>
          <w:sz w:val="24"/>
          <w:szCs w:val="24"/>
          <w:u w:val="single"/>
        </w:rPr>
      </w:pPr>
      <w:r w:rsidRPr="00766DA1">
        <w:rPr>
          <w:rFonts w:ascii="Aptos Light" w:eastAsia="Aptos Light" w:hAnsi="Aptos Light" w:cs="Aptos Light"/>
          <w:b/>
          <w:bCs/>
          <w:sz w:val="24"/>
          <w:szCs w:val="24"/>
          <w:u w:val="single"/>
        </w:rPr>
        <w:t xml:space="preserve">Costituisce, inoltre, preciso obbligo dell’aggiudicatario/concessionario di avviare l’attività e l’offerta dei servizi entro </w:t>
      </w:r>
      <w:r w:rsidR="00273B0A" w:rsidRPr="00766DA1">
        <w:rPr>
          <w:rFonts w:ascii="Aptos Light" w:eastAsia="Aptos Light" w:hAnsi="Aptos Light" w:cs="Aptos Light"/>
          <w:b/>
          <w:bCs/>
          <w:sz w:val="24"/>
          <w:szCs w:val="24"/>
          <w:u w:val="single"/>
        </w:rPr>
        <w:t>9</w:t>
      </w:r>
      <w:r w:rsidR="00DE0B49" w:rsidRPr="00766DA1">
        <w:rPr>
          <w:rFonts w:ascii="Aptos Light" w:eastAsia="Aptos Light" w:hAnsi="Aptos Light" w:cs="Aptos Light"/>
          <w:b/>
          <w:bCs/>
          <w:sz w:val="24"/>
          <w:szCs w:val="24"/>
          <w:u w:val="single"/>
        </w:rPr>
        <w:t>0 (</w:t>
      </w:r>
      <w:r w:rsidR="00273B0A" w:rsidRPr="00766DA1">
        <w:rPr>
          <w:rFonts w:ascii="Aptos Light" w:eastAsia="Aptos Light" w:hAnsi="Aptos Light" w:cs="Aptos Light"/>
          <w:b/>
          <w:bCs/>
          <w:sz w:val="24"/>
          <w:szCs w:val="24"/>
          <w:u w:val="single"/>
        </w:rPr>
        <w:t>nov</w:t>
      </w:r>
      <w:r w:rsidR="00DE0B49" w:rsidRPr="00766DA1">
        <w:rPr>
          <w:rFonts w:ascii="Aptos Light" w:eastAsia="Aptos Light" w:hAnsi="Aptos Light" w:cs="Aptos Light"/>
          <w:b/>
          <w:bCs/>
          <w:sz w:val="24"/>
          <w:szCs w:val="24"/>
          <w:u w:val="single"/>
        </w:rPr>
        <w:t xml:space="preserve">anta) </w:t>
      </w:r>
      <w:r w:rsidRPr="00766DA1">
        <w:rPr>
          <w:rFonts w:ascii="Aptos Light" w:eastAsia="Aptos Light" w:hAnsi="Aptos Light" w:cs="Aptos Light"/>
          <w:b/>
          <w:bCs/>
          <w:sz w:val="24"/>
          <w:szCs w:val="24"/>
          <w:u w:val="single"/>
        </w:rPr>
        <w:t>giorni</w:t>
      </w:r>
      <w:r w:rsidR="00DE0B49" w:rsidRPr="00766DA1">
        <w:rPr>
          <w:rFonts w:ascii="Aptos Light" w:eastAsia="Aptos Light" w:hAnsi="Aptos Light" w:cs="Aptos Light"/>
          <w:b/>
          <w:bCs/>
          <w:sz w:val="24"/>
          <w:szCs w:val="24"/>
          <w:u w:val="single"/>
        </w:rPr>
        <w:t xml:space="preserve"> decorrenti </w:t>
      </w:r>
      <w:r w:rsidRPr="00766DA1">
        <w:rPr>
          <w:rFonts w:ascii="Aptos Light" w:eastAsia="Aptos Light" w:hAnsi="Aptos Light" w:cs="Aptos Light"/>
          <w:b/>
          <w:bCs/>
          <w:sz w:val="24"/>
          <w:szCs w:val="24"/>
          <w:u w:val="single"/>
        </w:rPr>
        <w:t xml:space="preserve">dalla data di formale consegna dell’impianto </w:t>
      </w:r>
      <w:r w:rsidR="00273B0A" w:rsidRPr="00766DA1">
        <w:rPr>
          <w:rFonts w:ascii="Aptos Light" w:eastAsia="Aptos Light" w:hAnsi="Aptos Light" w:cs="Aptos Light"/>
          <w:b/>
          <w:bCs/>
          <w:sz w:val="24"/>
          <w:szCs w:val="24"/>
          <w:u w:val="single"/>
        </w:rPr>
        <w:t>e del relativo servizio come indicato al precedente art. 2-bis</w:t>
      </w:r>
      <w:r w:rsidRPr="00766DA1">
        <w:rPr>
          <w:rFonts w:ascii="Aptos Light" w:eastAsia="Aptos Light" w:hAnsi="Aptos Light" w:cs="Aptos Light"/>
          <w:b/>
          <w:bCs/>
          <w:sz w:val="24"/>
          <w:szCs w:val="24"/>
          <w:u w:val="single"/>
        </w:rPr>
        <w:t xml:space="preserve">, per l’applicazione delle penali contrattualmente previste. </w:t>
      </w:r>
    </w:p>
    <w:p w14:paraId="1D4F859D" w14:textId="56A5FCE0" w:rsidR="004719AC" w:rsidRPr="00273B0A" w:rsidRDefault="00000000">
      <w:pPr>
        <w:pStyle w:val="Titolo2"/>
        <w:spacing w:before="240"/>
        <w:ind w:right="3"/>
        <w:jc w:val="both"/>
        <w:rPr>
          <w:rFonts w:ascii="Aptos Light" w:eastAsia="Aptos Light" w:hAnsi="Aptos Light" w:cs="Aptos Light"/>
          <w:sz w:val="24"/>
          <w:szCs w:val="24"/>
          <w:u w:val="single"/>
        </w:rPr>
      </w:pPr>
      <w:r w:rsidRPr="00273B0A">
        <w:rPr>
          <w:rFonts w:ascii="Aptos Light" w:eastAsia="Aptos Light" w:hAnsi="Aptos Light" w:cs="Aptos Light"/>
          <w:sz w:val="24"/>
          <w:szCs w:val="24"/>
          <w:u w:val="single"/>
        </w:rPr>
        <w:lastRenderedPageBreak/>
        <w:t>Tale termine è prorogabile a seguito di richiesta motivata presentata dell’aggiudicatario/concessionario approvata dall’</w:t>
      </w:r>
      <w:r w:rsidR="00DE0B49" w:rsidRPr="00273B0A">
        <w:rPr>
          <w:rFonts w:ascii="Aptos Light" w:eastAsia="Aptos Light" w:hAnsi="Aptos Light" w:cs="Aptos Light"/>
          <w:sz w:val="24"/>
          <w:szCs w:val="24"/>
          <w:u w:val="single"/>
        </w:rPr>
        <w:t>E</w:t>
      </w:r>
      <w:r w:rsidRPr="00273B0A">
        <w:rPr>
          <w:rFonts w:ascii="Aptos Light" w:eastAsia="Aptos Light" w:hAnsi="Aptos Light" w:cs="Aptos Light"/>
          <w:sz w:val="24"/>
          <w:szCs w:val="24"/>
          <w:u w:val="single"/>
        </w:rPr>
        <w:t>nte concedente</w:t>
      </w:r>
      <w:r w:rsidR="00DE0B49" w:rsidRPr="00273B0A">
        <w:rPr>
          <w:rFonts w:ascii="Aptos Light" w:eastAsia="Aptos Light" w:hAnsi="Aptos Light" w:cs="Aptos Light"/>
          <w:sz w:val="24"/>
          <w:szCs w:val="24"/>
          <w:u w:val="single"/>
        </w:rPr>
        <w:t xml:space="preserve"> in particolare per l’acquisizione di autorizzazioni e nullaosta di legge</w:t>
      </w:r>
      <w:r w:rsidRPr="00273B0A">
        <w:rPr>
          <w:rFonts w:ascii="Aptos Light" w:eastAsia="Aptos Light" w:hAnsi="Aptos Light" w:cs="Aptos Light"/>
          <w:sz w:val="24"/>
          <w:szCs w:val="24"/>
          <w:u w:val="single"/>
        </w:rPr>
        <w:t>.</w:t>
      </w:r>
    </w:p>
    <w:bookmarkEnd w:id="1"/>
    <w:p w14:paraId="0EC59089" w14:textId="77777777" w:rsidR="004719AC" w:rsidRDefault="00000000">
      <w:pPr>
        <w:pStyle w:val="Titolo2"/>
        <w:spacing w:before="240"/>
        <w:ind w:right="851"/>
        <w:jc w:val="both"/>
        <w:rPr>
          <w:rFonts w:ascii="Aptos Light" w:eastAsia="Aptos Light" w:hAnsi="Aptos Light" w:cs="Aptos Light"/>
          <w:sz w:val="24"/>
          <w:szCs w:val="24"/>
        </w:rPr>
      </w:pPr>
      <w:r>
        <w:rPr>
          <w:rFonts w:ascii="Aptos Light" w:eastAsia="Aptos Light" w:hAnsi="Aptos Light" w:cs="Aptos Light"/>
          <w:sz w:val="24"/>
          <w:szCs w:val="24"/>
        </w:rPr>
        <w:t xml:space="preserve">3.5 Consegna dell’immobile </w:t>
      </w:r>
    </w:p>
    <w:p w14:paraId="4C468999" w14:textId="77777777" w:rsidR="004719AC" w:rsidRDefault="00000000" w:rsidP="00DE0B49">
      <w:pPr>
        <w:pStyle w:val="Titolo2"/>
        <w:tabs>
          <w:tab w:val="left" w:pos="8505"/>
        </w:tabs>
        <w:spacing w:before="240"/>
        <w:ind w:right="3"/>
        <w:jc w:val="both"/>
        <w:rPr>
          <w:rFonts w:ascii="Aptos Light" w:eastAsia="Aptos Light" w:hAnsi="Aptos Light" w:cs="Aptos Light"/>
          <w:sz w:val="24"/>
          <w:szCs w:val="24"/>
        </w:rPr>
      </w:pPr>
      <w:r>
        <w:rPr>
          <w:rFonts w:ascii="Aptos Light" w:eastAsia="Aptos Light" w:hAnsi="Aptos Light" w:cs="Aptos Light"/>
          <w:b w:val="0"/>
          <w:sz w:val="24"/>
          <w:szCs w:val="24"/>
        </w:rPr>
        <w:t>L’immobile sarà concesso nello stato di fatto e di diritto in cui si trova, rimanendo espressamente a carico e spese dell’aggiudicatario/concessionario la richiesta e l’ottenimento di eventuali concessioni, licenze, e autorizzazioni edilizie, amministrative e/o di pubblica sicurezza e/o sicurezza (prevenzione incendi, ecc.), occorrenti per l’uso stabilito, senza che l’aggiudicazione costituisca impegno al rilascio da parte dell’Ente concedente di quelle per legge di sua competenza</w:t>
      </w:r>
      <w:r>
        <w:rPr>
          <w:rFonts w:ascii="Aptos Light" w:eastAsia="Aptos Light" w:hAnsi="Aptos Light" w:cs="Aptos Light"/>
          <w:sz w:val="24"/>
          <w:szCs w:val="24"/>
        </w:rPr>
        <w:t>.</w:t>
      </w:r>
    </w:p>
    <w:p w14:paraId="49198467" w14:textId="77777777" w:rsidR="004719AC" w:rsidRDefault="00000000">
      <w:pPr>
        <w:pStyle w:val="Titolo1"/>
        <w:spacing w:before="240"/>
        <w:ind w:left="0"/>
        <w:jc w:val="both"/>
        <w:rPr>
          <w:rFonts w:ascii="Aptos Light" w:eastAsia="Aptos Light" w:hAnsi="Aptos Light" w:cs="Aptos Light"/>
        </w:rPr>
      </w:pPr>
      <w:r>
        <w:rPr>
          <w:rFonts w:ascii="Aptos Light" w:eastAsia="Aptos Light" w:hAnsi="Aptos Light" w:cs="Aptos Light"/>
        </w:rPr>
        <w:t>Art. 4 - Garanzia definitiva</w:t>
      </w:r>
    </w:p>
    <w:p w14:paraId="72F94ABE" w14:textId="77777777" w:rsidR="004719AC" w:rsidRDefault="00000000">
      <w:pPr>
        <w:pStyle w:val="Titolo2"/>
        <w:spacing w:before="240"/>
        <w:jc w:val="both"/>
        <w:rPr>
          <w:rFonts w:ascii="Aptos Light" w:eastAsia="Aptos Light" w:hAnsi="Aptos Light" w:cs="Aptos Light"/>
          <w:sz w:val="24"/>
          <w:szCs w:val="24"/>
        </w:rPr>
      </w:pPr>
      <w:r>
        <w:rPr>
          <w:rFonts w:ascii="Aptos Light" w:eastAsia="Aptos Light" w:hAnsi="Aptos Light" w:cs="Aptos Light"/>
          <w:sz w:val="24"/>
          <w:szCs w:val="24"/>
        </w:rPr>
        <w:t>Garanzia provvisoria</w:t>
      </w:r>
    </w:p>
    <w:p w14:paraId="60B5475E" w14:textId="544ABA56"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L'offerta è corredata da una garanzia provvisoria pari al </w:t>
      </w:r>
      <w:r w:rsidR="00ED4BB9">
        <w:rPr>
          <w:rFonts w:ascii="Aptos Light" w:eastAsia="Aptos Light" w:hAnsi="Aptos Light" w:cs="Aptos Light"/>
          <w:color w:val="000000"/>
          <w:sz w:val="24"/>
          <w:szCs w:val="24"/>
        </w:rPr>
        <w:t>1 (uno)</w:t>
      </w:r>
      <w:r>
        <w:rPr>
          <w:rFonts w:ascii="Aptos Light" w:eastAsia="Aptos Light" w:hAnsi="Aptos Light" w:cs="Aptos Light"/>
          <w:color w:val="000000"/>
          <w:sz w:val="24"/>
          <w:szCs w:val="24"/>
        </w:rPr>
        <w:t xml:space="preserve"> per cento del valore complessivo della procedura indicato nel presente disciplinare.</w:t>
      </w:r>
    </w:p>
    <w:p w14:paraId="257FD42A"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In caso di partecipazione alla gara di un raggruppamento temporaneo di imprese, anche se non ancora costituito, la garanzia deve coprire le obbligazioni di ciascuna impresa del raggruppamento medesimo. </w:t>
      </w:r>
    </w:p>
    <w:p w14:paraId="33FB2221"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La garanzia provvisoria può essere costituita sotto forma di cauzione oppure di fideiussione. </w:t>
      </w:r>
    </w:p>
    <w:p w14:paraId="445921C8"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 cauzione è costituita presso l'istituto incaricato del servizio di tesoreria o presso le aziende autorizzate, a titolo di pegno a favore dell’Ente concedente, esclusivamente con bonifico o con altri strumenti e canali di pagamento elettronici previsti dall'ordinamento vigente.</w:t>
      </w:r>
    </w:p>
    <w:p w14:paraId="2A71CEAC"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Si applica, quanto allo svincolo, il comma 10 dell’art. 106 del Codice.</w:t>
      </w:r>
    </w:p>
    <w:p w14:paraId="6B126E3B"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La garanzia fideiussoria può essere rilasciata da imprese bancarie o assicurative che rispondano ai requisiti di solvibilità previsti dalle leggi che ne disciplinano le rispettive attività, oppure dagli intermediari finanziari iscritti nell'albo di cui all'articolo 106 del testo unico delle leggi in materia bancaria e creditizia, di cui al </w:t>
      </w:r>
      <w:hyperlink r:id="rId9">
        <w:r w:rsidR="004719AC">
          <w:rPr>
            <w:rFonts w:ascii="Aptos Light" w:eastAsia="Aptos Light" w:hAnsi="Aptos Light" w:cs="Aptos Light"/>
            <w:color w:val="000000"/>
            <w:sz w:val="24"/>
            <w:szCs w:val="24"/>
          </w:rPr>
          <w:t>decreto legislativo 1°</w:t>
        </w:r>
      </w:hyperlink>
      <w:r>
        <w:rPr>
          <w:rFonts w:ascii="Aptos Light" w:eastAsia="Aptos Light" w:hAnsi="Aptos Light" w:cs="Aptos Light"/>
          <w:color w:val="000000"/>
          <w:sz w:val="24"/>
          <w:szCs w:val="24"/>
        </w:rPr>
        <w:t xml:space="preserve"> </w:t>
      </w:r>
      <w:hyperlink r:id="rId10">
        <w:r w:rsidR="004719AC">
          <w:rPr>
            <w:rFonts w:ascii="Aptos Light" w:eastAsia="Aptos Light" w:hAnsi="Aptos Light" w:cs="Aptos Light"/>
            <w:color w:val="000000"/>
            <w:sz w:val="24"/>
            <w:szCs w:val="24"/>
          </w:rPr>
          <w:t>settembre 1993, n. 385,</w:t>
        </w:r>
      </w:hyperlink>
      <w:r>
        <w:rPr>
          <w:rFonts w:ascii="Aptos Light" w:eastAsia="Aptos Light" w:hAnsi="Aptos Light" w:cs="Aptos Light"/>
          <w:color w:val="000000"/>
          <w:sz w:val="24"/>
          <w:szCs w:val="24"/>
        </w:rPr>
        <w:t xml:space="preserve"> che svolgono in via esclusiva o prevalente attività di rilascio di garanzie e che sono sottoposti a revisione contabile da parte di una società di revisione iscritta nell'apposito albo e che abbiano i requisiti minimi di solvibilità richiesti dalla vigente normativa bancaria assicurativa. </w:t>
      </w:r>
    </w:p>
    <w:p w14:paraId="3D1BADCB"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 garanzia fideiussoria deve essere emessa e firmata digitalmente; essa deve essere altresì verificabile telematicamente presso l'emittente ovvero gestita mediante ricorso a piattaforme operanti con tecnologie basate su registri distribuiti ai sensi del</w:t>
      </w:r>
      <w:hyperlink r:id="rId11">
        <w:r w:rsidR="004719AC">
          <w:rPr>
            <w:rFonts w:ascii="Aptos Light" w:eastAsia="Aptos Light" w:hAnsi="Aptos Light" w:cs="Aptos Light"/>
            <w:color w:val="000000"/>
            <w:sz w:val="24"/>
            <w:szCs w:val="24"/>
          </w:rPr>
          <w:t>l'articolo</w:t>
        </w:r>
      </w:hyperlink>
      <w:r>
        <w:rPr>
          <w:rFonts w:ascii="Aptos Light" w:eastAsia="Aptos Light" w:hAnsi="Aptos Light" w:cs="Aptos Light"/>
          <w:color w:val="000000"/>
          <w:sz w:val="24"/>
          <w:szCs w:val="24"/>
        </w:rPr>
        <w:t xml:space="preserve"> </w:t>
      </w:r>
      <w:hyperlink r:id="rId12">
        <w:r w:rsidR="004719AC">
          <w:rPr>
            <w:rFonts w:ascii="Aptos Light" w:eastAsia="Aptos Light" w:hAnsi="Aptos Light" w:cs="Aptos Light"/>
            <w:color w:val="000000"/>
            <w:sz w:val="24"/>
            <w:szCs w:val="24"/>
          </w:rPr>
          <w:t>8-ter, comma 1, del</w:t>
        </w:r>
      </w:hyperlink>
      <w:r>
        <w:rPr>
          <w:rFonts w:ascii="Aptos Light" w:eastAsia="Aptos Light" w:hAnsi="Aptos Light" w:cs="Aptos Light"/>
          <w:color w:val="000000"/>
          <w:sz w:val="24"/>
          <w:szCs w:val="24"/>
        </w:rPr>
        <w:t xml:space="preserve"> </w:t>
      </w:r>
      <w:hyperlink r:id="rId13">
        <w:r w:rsidR="004719AC">
          <w:rPr>
            <w:rFonts w:ascii="Aptos Light" w:eastAsia="Aptos Light" w:hAnsi="Aptos Light" w:cs="Aptos Light"/>
            <w:color w:val="000000"/>
            <w:sz w:val="24"/>
            <w:szCs w:val="24"/>
          </w:rPr>
          <w:t>decreto-legge 14 dicembre</w:t>
        </w:r>
      </w:hyperlink>
      <w:r>
        <w:rPr>
          <w:rFonts w:ascii="Aptos Light" w:eastAsia="Aptos Light" w:hAnsi="Aptos Light" w:cs="Aptos Light"/>
          <w:color w:val="000000"/>
          <w:sz w:val="24"/>
          <w:szCs w:val="24"/>
        </w:rPr>
        <w:t xml:space="preserve"> </w:t>
      </w:r>
      <w:hyperlink r:id="rId14">
        <w:r w:rsidR="004719AC">
          <w:rPr>
            <w:rFonts w:ascii="Aptos Light" w:eastAsia="Aptos Light" w:hAnsi="Aptos Light" w:cs="Aptos Light"/>
            <w:color w:val="000000"/>
            <w:sz w:val="24"/>
            <w:szCs w:val="24"/>
          </w:rPr>
          <w:t>2018, n. 135,</w:t>
        </w:r>
      </w:hyperlink>
      <w:r>
        <w:rPr>
          <w:rFonts w:ascii="Aptos Light" w:eastAsia="Aptos Light" w:hAnsi="Aptos Light" w:cs="Aptos Light"/>
          <w:color w:val="000000"/>
          <w:sz w:val="24"/>
          <w:szCs w:val="24"/>
        </w:rPr>
        <w:t xml:space="preserve"> convertito, con modificazioni, dalla </w:t>
      </w:r>
      <w:hyperlink r:id="rId15">
        <w:r w:rsidR="004719AC">
          <w:rPr>
            <w:rFonts w:ascii="Aptos Light" w:eastAsia="Aptos Light" w:hAnsi="Aptos Light" w:cs="Aptos Light"/>
            <w:color w:val="000000"/>
            <w:sz w:val="24"/>
            <w:szCs w:val="24"/>
          </w:rPr>
          <w:t>legge</w:t>
        </w:r>
      </w:hyperlink>
      <w:r>
        <w:rPr>
          <w:rFonts w:ascii="Aptos Light" w:eastAsia="Aptos Light" w:hAnsi="Aptos Light" w:cs="Aptos Light"/>
          <w:color w:val="000000"/>
          <w:sz w:val="24"/>
          <w:szCs w:val="24"/>
        </w:rPr>
        <w:t xml:space="preserve"> </w:t>
      </w:r>
      <w:hyperlink r:id="rId16">
        <w:r w:rsidR="004719AC">
          <w:rPr>
            <w:rFonts w:ascii="Aptos Light" w:eastAsia="Aptos Light" w:hAnsi="Aptos Light" w:cs="Aptos Light"/>
            <w:color w:val="000000"/>
            <w:sz w:val="24"/>
            <w:szCs w:val="24"/>
          </w:rPr>
          <w:t>11 febbraio 2019, n. 12,</w:t>
        </w:r>
      </w:hyperlink>
      <w:r>
        <w:rPr>
          <w:rFonts w:ascii="Aptos Light" w:eastAsia="Aptos Light" w:hAnsi="Aptos Light" w:cs="Aptos Light"/>
          <w:color w:val="000000"/>
          <w:sz w:val="24"/>
          <w:szCs w:val="24"/>
        </w:rPr>
        <w:t xml:space="preserve"> conformi alle caratteristiche stabilite </w:t>
      </w:r>
      <w:r>
        <w:rPr>
          <w:rFonts w:ascii="Aptos Light" w:eastAsia="Aptos Light" w:hAnsi="Aptos Light" w:cs="Aptos Light"/>
          <w:sz w:val="24"/>
          <w:szCs w:val="24"/>
        </w:rPr>
        <w:t>da AGID(Agenzia per l’Italia Digitale)</w:t>
      </w:r>
      <w:r>
        <w:rPr>
          <w:rFonts w:ascii="Aptos Light" w:eastAsia="Aptos Light" w:hAnsi="Aptos Light" w:cs="Aptos Light"/>
          <w:color w:val="000000"/>
          <w:sz w:val="24"/>
          <w:szCs w:val="24"/>
        </w:rPr>
        <w:t xml:space="preserve"> con il provvedimento di cui all'articolo 26, comma 1.</w:t>
      </w:r>
    </w:p>
    <w:p w14:paraId="69E70EFF"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 garanzia deve prevedere espressamente la rinuncia al beneficio della preventiva escussione del debitore principale, la rinuncia all'eccezione di cui al</w:t>
      </w:r>
      <w:hyperlink r:id="rId17">
        <w:r w:rsidR="004719AC">
          <w:rPr>
            <w:rFonts w:ascii="Aptos Light" w:eastAsia="Aptos Light" w:hAnsi="Aptos Light" w:cs="Aptos Light"/>
            <w:color w:val="000000"/>
            <w:sz w:val="24"/>
            <w:szCs w:val="24"/>
          </w:rPr>
          <w:t>l'articolo 1957, secondo comma, del codice civile,</w:t>
        </w:r>
      </w:hyperlink>
      <w:r>
        <w:rPr>
          <w:rFonts w:ascii="Aptos Light" w:eastAsia="Aptos Light" w:hAnsi="Aptos Light" w:cs="Aptos Light"/>
          <w:color w:val="000000"/>
          <w:sz w:val="24"/>
          <w:szCs w:val="24"/>
        </w:rPr>
        <w:t xml:space="preserve"> nonché l'operatività della garanzia medesima entro quindici giorni, a semplice richiesta scritta dell’Ente concedente. </w:t>
      </w:r>
    </w:p>
    <w:p w14:paraId="60374D10"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lastRenderedPageBreak/>
        <w:t>La garanzia deve avere efficacia per almeno centottanta giorni dalla data di presentazione.</w:t>
      </w:r>
    </w:p>
    <w:p w14:paraId="44944564"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L'offerta deve essere corredata </w:t>
      </w:r>
      <w:r>
        <w:rPr>
          <w:rFonts w:ascii="Aptos Light" w:eastAsia="Aptos Light" w:hAnsi="Aptos Light" w:cs="Aptos Light"/>
          <w:sz w:val="24"/>
          <w:szCs w:val="24"/>
        </w:rPr>
        <w:t>dall'impegno</w:t>
      </w:r>
      <w:r>
        <w:rPr>
          <w:rFonts w:ascii="Aptos Light" w:eastAsia="Aptos Light" w:hAnsi="Aptos Light" w:cs="Aptos Light"/>
          <w:color w:val="000000"/>
          <w:sz w:val="24"/>
          <w:szCs w:val="24"/>
        </w:rPr>
        <w:t xml:space="preserve"> del garante a rinnovare la garanzia, su richiesta dell’Ente concedente nel corso della procedura, per la durata indicata dall’Ente concedente stesso, nel caso in cui al momento della sua scadenza non sia ancora intervenuta l'aggiudicazione. </w:t>
      </w:r>
    </w:p>
    <w:p w14:paraId="0736DA5C"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La garanzia copre la mancata aggiudicazione dopo la proposta di aggiudicazione e la mancata sottoscrizione della concessione imputabili a ogni fatto riconducibile all'affidatario o conseguenti all'adozione di informazione antimafia interdittiva emessa ai sensi degli articoli 84 e 91 del codice delle leggi antimafia e delle misure di prevenzione, di cui al </w:t>
      </w:r>
      <w:hyperlink r:id="rId18">
        <w:r w:rsidR="004719AC">
          <w:rPr>
            <w:rFonts w:ascii="Aptos Light" w:eastAsia="Aptos Light" w:hAnsi="Aptos Light" w:cs="Aptos Light"/>
            <w:color w:val="000000"/>
            <w:sz w:val="24"/>
            <w:szCs w:val="24"/>
          </w:rPr>
          <w:t>decreto legislativo 6 settembre 2011, n. 159.</w:t>
        </w:r>
      </w:hyperlink>
      <w:r>
        <w:rPr>
          <w:rFonts w:ascii="Aptos Light" w:eastAsia="Aptos Light" w:hAnsi="Aptos Light" w:cs="Aptos Light"/>
          <w:color w:val="000000"/>
          <w:sz w:val="24"/>
          <w:szCs w:val="24"/>
        </w:rPr>
        <w:t xml:space="preserve"> </w:t>
      </w:r>
    </w:p>
    <w:p w14:paraId="5E63A468" w14:textId="65C5495F"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La garanzia è svincolata automaticamente al momento della sottoscrizione della concessione. </w:t>
      </w:r>
    </w:p>
    <w:p w14:paraId="0ADEDAD1"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Le garanzie fideiussorie devono essere conformi allo schema tipo di cui all'articolo 117, comma 12 del Codice. </w:t>
      </w:r>
    </w:p>
    <w:p w14:paraId="227D3109"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Si applicano inoltre i periodi secondo e terzo dello stesso comma. </w:t>
      </w:r>
    </w:p>
    <w:p w14:paraId="37CEE715"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L’Ente concedente, nell'atto con cui comunica l'aggiudicazione ai non aggiudicatari, provvederà nei loro confronti allo svincolo della garanzia provvisoria. </w:t>
      </w:r>
    </w:p>
    <w:p w14:paraId="1783EF0B"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 garanzia perde comunque efficacia alla scadenza del termine di trenta giorni dall'aggiudicazione.</w:t>
      </w:r>
    </w:p>
    <w:p w14:paraId="3B762761" w14:textId="77777777" w:rsidR="004719AC" w:rsidRDefault="00000000">
      <w:pPr>
        <w:pStyle w:val="Titolo2"/>
        <w:spacing w:before="240"/>
        <w:ind w:right="145"/>
        <w:jc w:val="both"/>
        <w:rPr>
          <w:rFonts w:ascii="Aptos Light" w:eastAsia="Aptos Light" w:hAnsi="Aptos Light" w:cs="Aptos Light"/>
          <w:sz w:val="24"/>
          <w:szCs w:val="24"/>
        </w:rPr>
      </w:pPr>
      <w:r>
        <w:rPr>
          <w:rFonts w:ascii="Aptos Light" w:eastAsia="Aptos Light" w:hAnsi="Aptos Light" w:cs="Aptos Light"/>
          <w:sz w:val="24"/>
          <w:szCs w:val="24"/>
        </w:rPr>
        <w:t>Garanzia definitiva</w:t>
      </w:r>
    </w:p>
    <w:p w14:paraId="3ED1786C"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Per la sottoscrizione della concessione il concessionario costituirà la garanzia definitiva, a sua scelta sotto forma di cauzione o fideiussione con le modalità previste dall'articolo 106 del Codice, pari al 10 per cento dell'importo contrattuale. </w:t>
      </w:r>
    </w:p>
    <w:p w14:paraId="0505AC51"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La garanzia è prestata per l'adempimento di tutte le obbligazioni del contratto e per il risarcimento dei danni derivanti dall'eventuale inadempimento delle obbligazioni stesse. </w:t>
      </w:r>
    </w:p>
    <w:p w14:paraId="45B0542D"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 garanzia cessa di avere effetto solo alla data di scadenza della concessione.</w:t>
      </w:r>
    </w:p>
    <w:p w14:paraId="189A1765"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 L’Ente concedente richiederà all'aggiudicatario la reintegrazione della garanzia ove questa sia venuta meno in tutto o in parte; in caso di inottemperanza, l’ente concedente potrà valutare l’opportunità di attivare il procedimento di decadenza dalla concessione. </w:t>
      </w:r>
    </w:p>
    <w:p w14:paraId="53D9A58F"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L’Ente concedente potrà di valersi della garanzia, nei limiti dell'importo massimo garantito, per l'eventuale maggiore spesa sostenuta per il completamento dei lavori e dei servizi nel caso di risoluzione del contratto disposta in danno dell'esecutore. </w:t>
      </w:r>
    </w:p>
    <w:p w14:paraId="5FB13B8F"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L’Ente concedente potrà, altresì, incamerare la garanzia per il pagamento di quanto dovuto dall'esecutore per le inadempienze derivanti dalla inosservanza di norme e prescrizioni dei contratti collettivi, delle leggi e dei regolamenti sulla tutela, protezione, assicurazione, assistenza e sicurezza fisica dei lavoratori addetti all'esecuzione della concessione. </w:t>
      </w:r>
    </w:p>
    <w:p w14:paraId="2D46CA45"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La mancata costituzione della garanzia definitiva determina la decadenza dell'affidamento e l'acquisizione della garanzia provvisoria presentata in sede di offerta da parte dell’Ente </w:t>
      </w:r>
      <w:r>
        <w:rPr>
          <w:rFonts w:ascii="Aptos Light" w:eastAsia="Aptos Light" w:hAnsi="Aptos Light" w:cs="Aptos Light"/>
          <w:color w:val="000000"/>
          <w:sz w:val="24"/>
          <w:szCs w:val="24"/>
        </w:rPr>
        <w:lastRenderedPageBreak/>
        <w:t xml:space="preserve">concedente, che aggiudica la concessione al concorrente che segue nella graduatoria. </w:t>
      </w:r>
    </w:p>
    <w:p w14:paraId="0FCA936F"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La garanzia fideiussoria definitiva può essere rilasciata dai soggetti di cui all'articolo 106, comma 3 del Codice. </w:t>
      </w:r>
    </w:p>
    <w:p w14:paraId="6986BF0C"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 garanzia prevede espressamente la rinuncia al beneficio della preventiva escussione del debitore principale, la rinuncia all'eccezione di cui al</w:t>
      </w:r>
      <w:hyperlink r:id="rId19">
        <w:r w:rsidR="004719AC">
          <w:rPr>
            <w:rFonts w:ascii="Aptos Light" w:eastAsia="Aptos Light" w:hAnsi="Aptos Light" w:cs="Aptos Light"/>
            <w:color w:val="000000"/>
            <w:sz w:val="24"/>
            <w:szCs w:val="24"/>
          </w:rPr>
          <w:t>l'articolo 1957, secondo</w:t>
        </w:r>
      </w:hyperlink>
      <w:r>
        <w:rPr>
          <w:rFonts w:ascii="Aptos Light" w:eastAsia="Aptos Light" w:hAnsi="Aptos Light" w:cs="Aptos Light"/>
          <w:color w:val="000000"/>
          <w:sz w:val="24"/>
          <w:szCs w:val="24"/>
        </w:rPr>
        <w:t xml:space="preserve"> </w:t>
      </w:r>
      <w:hyperlink r:id="rId20">
        <w:r w:rsidR="004719AC">
          <w:rPr>
            <w:rFonts w:ascii="Aptos Light" w:eastAsia="Aptos Light" w:hAnsi="Aptos Light" w:cs="Aptos Light"/>
            <w:color w:val="000000"/>
            <w:sz w:val="24"/>
            <w:szCs w:val="24"/>
          </w:rPr>
          <w:t>comma, del codice civile,</w:t>
        </w:r>
      </w:hyperlink>
      <w:r>
        <w:rPr>
          <w:rFonts w:ascii="Aptos Light" w:eastAsia="Aptos Light" w:hAnsi="Aptos Light" w:cs="Aptos Light"/>
          <w:color w:val="000000"/>
          <w:sz w:val="24"/>
          <w:szCs w:val="24"/>
        </w:rPr>
        <w:t xml:space="preserve"> nonché l'operatività della garanzia medesima entro quindici giorni, a semplice richiesta scritta dell’Ente concedente.</w:t>
      </w:r>
    </w:p>
    <w:p w14:paraId="715C1243" w14:textId="77777777" w:rsidR="004719AC" w:rsidRDefault="00000000">
      <w:pPr>
        <w:pBdr>
          <w:top w:val="nil"/>
          <w:left w:val="nil"/>
          <w:bottom w:val="nil"/>
          <w:right w:val="nil"/>
          <w:between w:val="nil"/>
        </w:pBdr>
        <w:spacing w:before="240"/>
        <w:ind w:right="145"/>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In caso di raggruppamenti temporanei le garanzie fideiussorie e le garanzie assicurative sono presentate, su mandato irrevocabile, dalla mandataria in nome e per conto di tutti i concorrenti, ferma restando la responsabilità solidale tra le imprese.</w:t>
      </w:r>
    </w:p>
    <w:p w14:paraId="2CD4F878" w14:textId="014CDA8E" w:rsidR="00ED4BB9" w:rsidRPr="00ED4BB9" w:rsidRDefault="00ED4BB9">
      <w:pPr>
        <w:pBdr>
          <w:top w:val="nil"/>
          <w:left w:val="nil"/>
          <w:bottom w:val="nil"/>
          <w:right w:val="nil"/>
          <w:between w:val="nil"/>
        </w:pBdr>
        <w:spacing w:before="240"/>
        <w:ind w:right="145"/>
        <w:jc w:val="both"/>
        <w:rPr>
          <w:rFonts w:ascii="Aptos Light" w:eastAsia="Aptos Light" w:hAnsi="Aptos Light" w:cs="Aptos Light"/>
          <w:b/>
          <w:bCs/>
          <w:color w:val="000000"/>
          <w:sz w:val="24"/>
          <w:szCs w:val="24"/>
          <w:u w:val="single"/>
        </w:rPr>
      </w:pPr>
      <w:r w:rsidRPr="00ED4BB9">
        <w:rPr>
          <w:rFonts w:ascii="Aptos Light" w:hAnsi="Aptos Light"/>
          <w:b/>
          <w:bCs/>
          <w:spacing w:val="-4"/>
          <w:sz w:val="24"/>
          <w:szCs w:val="24"/>
          <w:u w:val="single"/>
        </w:rPr>
        <w:t>Ai sensi e per gli effetti del comma 4-bis dell’art. 53 del Codice alla garanzia provvisoria e definitiva non si applicano le riduzioni previste dall'</w:t>
      </w:r>
      <w:hyperlink r:id="rId21" w:anchor="106" w:history="1">
        <w:r w:rsidRPr="00ED4BB9">
          <w:rPr>
            <w:rStyle w:val="Collegamentoipertestuale"/>
            <w:rFonts w:ascii="Aptos Light" w:hAnsi="Aptos Light"/>
            <w:b/>
            <w:bCs/>
            <w:spacing w:val="-4"/>
            <w:sz w:val="24"/>
            <w:szCs w:val="24"/>
          </w:rPr>
          <w:t>articolo 106, comma 8</w:t>
        </w:r>
      </w:hyperlink>
    </w:p>
    <w:p w14:paraId="74358B8C" w14:textId="77777777" w:rsidR="004719AC" w:rsidRDefault="00000000">
      <w:pPr>
        <w:pStyle w:val="Titolo1"/>
        <w:spacing w:before="240"/>
        <w:ind w:left="0"/>
        <w:jc w:val="both"/>
        <w:rPr>
          <w:rFonts w:ascii="Aptos Light" w:eastAsia="Aptos Light" w:hAnsi="Aptos Light" w:cs="Aptos Light"/>
        </w:rPr>
      </w:pPr>
      <w:r>
        <w:rPr>
          <w:rFonts w:ascii="Aptos Light" w:eastAsia="Aptos Light" w:hAnsi="Aptos Light" w:cs="Aptos Light"/>
        </w:rPr>
        <w:t>Art. 5 - Accertamenti periodici, inadempimenti, clausole penali per il ritardo, decadenza</w:t>
      </w:r>
    </w:p>
    <w:p w14:paraId="453779C3"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Direttamente o tramite propri incaricati l’Ente concedente procederà ad accertamenti periodici, anche a cadenza semestrale, al fine di verificare l’esatto adempimento degli obblighi assunti dal concessionario, nonché l’osservanza delle prescrizioni concernenti le modalità di utilizzazione del bene e di gestione dei servizi. </w:t>
      </w:r>
    </w:p>
    <w:p w14:paraId="7C470A13"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In particolare, sarà verificato l’esatto adempimento degli obblighi descritti all’art. 4 del presente Disciplinare, e di quelli previsti nel Capitolato d’oneri e nel Contratto di concessione.</w:t>
      </w:r>
    </w:p>
    <w:p w14:paraId="4C5A6BBE"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I controlli verteranno, altresì, a verificare il rispetto dell’adempimento di tutto ciò che è stato riportato nell’offerta tecnica, che costituirà preciso obbligo contrattuale per il Concessionario: l’offerta tecnica, infatti, sarà allegata al contratto di concessione per formarne parte integrante e l’Ente concedente condurrà verifiche e controlli periodici al fine di verificare il preciso rispetto di quanto in essa contenuto.</w:t>
      </w:r>
    </w:p>
    <w:p w14:paraId="43E44724"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Laddove l’Ente concedente individui l’inadempimento di una o più prestazioni in capo al concessionario, procederà all’applicazione della clausola penale prevista nel contratto di concessione (la quale determinerà l’ammontare della stessa per ogni tipo di prestazione adempiuta in ritardo) e ad inoltrare formale contestazione, assegnando un congruo termine per l’adempimento.</w:t>
      </w:r>
    </w:p>
    <w:p w14:paraId="278A183B"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L’inosservanza anche di uno solo dei termini assegnati dall’Ente concedente, per il pagamento della clausola penale e per l’adempimento della prestazione oggetto della contestazione, sarà causa di decadenza dalla concessione e di risarcimento dell’ulteriore danno subito dall’Ente concedente.</w:t>
      </w:r>
    </w:p>
    <w:p w14:paraId="77D05557" w14:textId="77777777" w:rsidR="004719AC" w:rsidRDefault="00000000">
      <w:pPr>
        <w:pStyle w:val="Titolo1"/>
        <w:spacing w:before="240"/>
        <w:ind w:left="0"/>
        <w:jc w:val="both"/>
        <w:rPr>
          <w:rFonts w:ascii="Aptos Light" w:eastAsia="Aptos Light" w:hAnsi="Aptos Light" w:cs="Aptos Light"/>
        </w:rPr>
      </w:pPr>
      <w:r>
        <w:rPr>
          <w:rFonts w:ascii="Aptos Light" w:eastAsia="Aptos Light" w:hAnsi="Aptos Light" w:cs="Aptos Light"/>
        </w:rPr>
        <w:t>Art. 6 - Stipulazione della concessione</w:t>
      </w:r>
      <w:r w:rsidR="00DE0B49">
        <w:rPr>
          <w:rFonts w:ascii="Aptos Light" w:eastAsia="Aptos Light" w:hAnsi="Aptos Light" w:cs="Aptos Light"/>
        </w:rPr>
        <w:t xml:space="preserve"> (contratto di servizio)</w:t>
      </w:r>
    </w:p>
    <w:p w14:paraId="0E66D681"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L’aggiudicatario, con le modalità che saranno comunicate, come previsto dagli atti di gara, dovrà presentare la documentazione necessaria al perfezionamento della concessione. </w:t>
      </w:r>
    </w:p>
    <w:p w14:paraId="1A3FDBEC"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Nell’ipotesi in cui l’aggiudicatario non presenti la documentazione richiesta si procederà alla decadenza dell’aggiudicazione nonché ad applicare le sanzioni previste per legge tenuto conto anche di quanto previsto dall’art. 96 comma 15 del Codice.</w:t>
      </w:r>
    </w:p>
    <w:p w14:paraId="1EE4A409"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lastRenderedPageBreak/>
        <w:t xml:space="preserve">La stipulazione della concessione è subordinata al positivo esito delle procedure previste dalla normativa vigente in materia di lotta alla mafia, fatto salvo quanto previsto dall’art. 88 comma 4-bis e 89 e dall’art. 92 comma 3 del d.lgs. 159/2011. </w:t>
      </w:r>
    </w:p>
    <w:p w14:paraId="4475A2B2"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Trascorsi i termini previsti dall’art. 92, commi 2 e 3 d.lgs. 159/2011 dalla consultazione della Banca dati, l’Ente concedente procede alla stipula della concessione anche in assenza di dell’informativa antimafia, salvo il successivo recesso dalla concessione laddove siano successivamente accertati elementi relativi a tentativi di infiltrazione mafiosa di cui all’art. 92, comma 4 del d.lgs. 159/2011. </w:t>
      </w:r>
    </w:p>
    <w:p w14:paraId="6FEF4DB2"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Ai sensi dell’art. 106 del Codice, la garanzia provvisoria verrà svincolata all’aggiudicatario, automaticamente al momento della stipula della concessione; agli altri concorrenti, verrà svincolata tempestivamente e comunque entro trenta giorni dalla comunicazione dell’avvenuta aggiudicazione.</w:t>
      </w:r>
    </w:p>
    <w:p w14:paraId="4A8486FF"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La concessione sarà stipulata in modalità elettronica, in forma pubblica amministrativa a cura dell'Ufficiale rogante dell’Ente concedente o tramite notaio. </w:t>
      </w:r>
    </w:p>
    <w:p w14:paraId="593BBCAD"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La concessione è soggetta agli obblighi in tema di tracciabilità dei flussi finanziari di cui alla l. 13 agosto 2010, n. 136. </w:t>
      </w:r>
    </w:p>
    <w:p w14:paraId="63C22318"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Nei casi di cui all’art. 124 comma 1 del Codice l’Ente concedente interpella progressivamente i soggetti che hanno partecipato alla procedura di gara, risultanti dalla relativa graduatoria, al fine di stipulare una nuova concessione per l’affidamento dell’esecuzione o del completamento del servizio.</w:t>
      </w:r>
    </w:p>
    <w:p w14:paraId="29C93F4A"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Sono a carico dell’aggiudicatario le spese contrattuali, gli oneri fiscali quali imposte e tasse - ivi comprese quelle di registro ove dovute e quelle notarili ove fatto ricorso a notaio in alternativa all’Ufficiale rogante dell’Ente concedente - relative alla stipulazione della concessione.</w:t>
      </w:r>
    </w:p>
    <w:p w14:paraId="288DBF1E"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L’aggiudicatario, con le modalità che saranno comunicate, dovrà presentare la documentazione necessaria al perfezionamento della concessione, e precisamente:</w:t>
      </w:r>
    </w:p>
    <w:p w14:paraId="60E9B571" w14:textId="77777777" w:rsidR="004719AC" w:rsidRDefault="00000000">
      <w:pPr>
        <w:numPr>
          <w:ilvl w:val="0"/>
          <w:numId w:val="3"/>
        </w:numPr>
        <w:pBdr>
          <w:top w:val="nil"/>
          <w:left w:val="nil"/>
          <w:bottom w:val="nil"/>
          <w:right w:val="nil"/>
          <w:between w:val="nil"/>
        </w:pBdr>
        <w:tabs>
          <w:tab w:val="left" w:pos="309"/>
        </w:tabs>
        <w:spacing w:before="240"/>
        <w:ind w:left="0" w:right="3" w:firstLine="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dichiarazione indicante la persona (completa di data e luogo di nascita e di codice fiscale) che </w:t>
      </w:r>
      <w:r>
        <w:rPr>
          <w:rFonts w:ascii="Aptos Light" w:eastAsia="Aptos Light" w:hAnsi="Aptos Light" w:cs="Aptos Light"/>
          <w:sz w:val="24"/>
          <w:szCs w:val="24"/>
        </w:rPr>
        <w:t>sottoscrive</w:t>
      </w:r>
      <w:r>
        <w:rPr>
          <w:rFonts w:ascii="Aptos Light" w:eastAsia="Aptos Light" w:hAnsi="Aptos Light" w:cs="Aptos Light"/>
          <w:color w:val="000000"/>
          <w:sz w:val="24"/>
          <w:szCs w:val="24"/>
        </w:rPr>
        <w:t xml:space="preserve"> la concessione, con relativi poteri;</w:t>
      </w:r>
    </w:p>
    <w:p w14:paraId="00E29E33" w14:textId="77777777" w:rsidR="004719AC" w:rsidRDefault="00000000">
      <w:pPr>
        <w:numPr>
          <w:ilvl w:val="0"/>
          <w:numId w:val="3"/>
        </w:numPr>
        <w:pBdr>
          <w:top w:val="nil"/>
          <w:left w:val="nil"/>
          <w:bottom w:val="nil"/>
          <w:right w:val="nil"/>
          <w:between w:val="nil"/>
        </w:pBdr>
        <w:tabs>
          <w:tab w:val="left" w:pos="278"/>
        </w:tabs>
        <w:spacing w:before="240"/>
        <w:ind w:left="0" w:right="3" w:firstLine="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garanzia definitiva;</w:t>
      </w:r>
    </w:p>
    <w:p w14:paraId="10DBBE75" w14:textId="77777777" w:rsidR="004719AC" w:rsidRDefault="00000000">
      <w:pPr>
        <w:numPr>
          <w:ilvl w:val="0"/>
          <w:numId w:val="3"/>
        </w:numPr>
        <w:pBdr>
          <w:top w:val="nil"/>
          <w:left w:val="nil"/>
          <w:bottom w:val="nil"/>
          <w:right w:val="nil"/>
          <w:between w:val="nil"/>
        </w:pBdr>
        <w:tabs>
          <w:tab w:val="left" w:pos="302"/>
        </w:tabs>
        <w:spacing w:before="240"/>
        <w:ind w:left="0" w:right="3" w:firstLine="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i dati del conto corrente bancario allo stesso intestato, esclusivamente dedicato all’incasso degli introiti derivanti dalla gestione della piscina comunale ed al pagamento di tutte le spese ad essa correlate;</w:t>
      </w:r>
    </w:p>
    <w:p w14:paraId="59263D42" w14:textId="77777777" w:rsidR="004719AC" w:rsidRDefault="00000000">
      <w:pPr>
        <w:numPr>
          <w:ilvl w:val="0"/>
          <w:numId w:val="3"/>
        </w:numPr>
        <w:pBdr>
          <w:top w:val="nil"/>
          <w:left w:val="nil"/>
          <w:bottom w:val="nil"/>
          <w:right w:val="nil"/>
          <w:between w:val="nil"/>
        </w:pBdr>
        <w:tabs>
          <w:tab w:val="left" w:pos="278"/>
        </w:tabs>
        <w:spacing w:before="240"/>
        <w:ind w:left="0" w:right="3" w:firstLine="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ricevuta di pagamento del canone concessorio relativo alla prima mensilità;</w:t>
      </w:r>
    </w:p>
    <w:p w14:paraId="2B08FF82" w14:textId="77777777" w:rsidR="004719AC" w:rsidRDefault="00000000">
      <w:pPr>
        <w:numPr>
          <w:ilvl w:val="0"/>
          <w:numId w:val="3"/>
        </w:numPr>
        <w:pBdr>
          <w:top w:val="nil"/>
          <w:left w:val="nil"/>
          <w:bottom w:val="nil"/>
          <w:right w:val="nil"/>
          <w:between w:val="nil"/>
        </w:pBdr>
        <w:tabs>
          <w:tab w:val="left" w:pos="278"/>
        </w:tabs>
        <w:spacing w:before="240"/>
        <w:ind w:left="0" w:right="3" w:firstLine="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ricevuta di pagamento dell’imposta di bollo e dell’imposta di registro.</w:t>
      </w:r>
    </w:p>
    <w:p w14:paraId="133ED706"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Si precisa che nell’ipotesi in cui l’aggiudicatario non presenti la documentazione richiesta si procederà alla decadenza dell’aggiudicazione nonché ad applicare le sanzioni previste per legge tenuto conto anche di quanto previsto dall’art. 96 comma 15 del Codice. La stipula dell'atto avverrà in forma pubblica amministrativa a cura dell'ufficiale rogante.</w:t>
      </w:r>
    </w:p>
    <w:p w14:paraId="6CCBCEE1" w14:textId="77777777" w:rsidR="004719AC" w:rsidRDefault="00000000">
      <w:pPr>
        <w:pStyle w:val="Titolo1"/>
        <w:spacing w:before="240"/>
        <w:ind w:left="0"/>
        <w:jc w:val="both"/>
        <w:rPr>
          <w:rFonts w:ascii="Aptos Light" w:eastAsia="Aptos Light" w:hAnsi="Aptos Light" w:cs="Aptos Light"/>
        </w:rPr>
      </w:pPr>
      <w:r>
        <w:rPr>
          <w:rFonts w:ascii="Aptos Light" w:eastAsia="Aptos Light" w:hAnsi="Aptos Light" w:cs="Aptos Light"/>
        </w:rPr>
        <w:t>Art. 7 - Canone di concessione</w:t>
      </w:r>
    </w:p>
    <w:p w14:paraId="61CC7570"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lastRenderedPageBreak/>
        <w:t xml:space="preserve">Il canone concessorio </w:t>
      </w:r>
      <w:r w:rsidR="00DE0B49">
        <w:rPr>
          <w:rFonts w:ascii="Aptos Light" w:eastAsia="Aptos Light" w:hAnsi="Aptos Light" w:cs="Aptos Light"/>
          <w:color w:val="000000"/>
          <w:sz w:val="24"/>
          <w:szCs w:val="24"/>
        </w:rPr>
        <w:t>annual</w:t>
      </w:r>
      <w:r>
        <w:rPr>
          <w:rFonts w:ascii="Aptos Light" w:eastAsia="Aptos Light" w:hAnsi="Aptos Light" w:cs="Aptos Light"/>
          <w:color w:val="000000"/>
          <w:sz w:val="24"/>
          <w:szCs w:val="24"/>
        </w:rPr>
        <w:t xml:space="preserve">e sarà quello offerto in sede di gara dal partecipante, che dovrà proporre una percentuale di rialzo rispetto a quello posto a base di gara, pari ad € </w:t>
      </w:r>
      <w:r w:rsidR="00DE0B49">
        <w:rPr>
          <w:rFonts w:ascii="Aptos Light" w:eastAsia="Aptos Light" w:hAnsi="Aptos Light" w:cs="Aptos Light"/>
          <w:color w:val="000000"/>
          <w:sz w:val="24"/>
          <w:szCs w:val="24"/>
        </w:rPr>
        <w:t>3.318,52</w:t>
      </w:r>
      <w:r>
        <w:rPr>
          <w:rFonts w:ascii="Aptos Light" w:eastAsia="Aptos Light" w:hAnsi="Aptos Light" w:cs="Aptos Light"/>
          <w:color w:val="000000"/>
          <w:sz w:val="24"/>
          <w:szCs w:val="24"/>
        </w:rPr>
        <w:t xml:space="preserve">, </w:t>
      </w:r>
      <w:r w:rsidR="00DE0B49" w:rsidRPr="00DE0B49">
        <w:rPr>
          <w:rFonts w:ascii="Aptos Light" w:eastAsia="Aptos Light" w:hAnsi="Aptos Light" w:cs="Aptos Light"/>
          <w:color w:val="000000"/>
          <w:sz w:val="24"/>
          <w:szCs w:val="24"/>
        </w:rPr>
        <w:t>/anno oltre IVA ove dovuta, come risultante dagli atti approvati dal Consiglio Comunale con deliberazione n. 24 del 18/11/2025</w:t>
      </w:r>
      <w:r>
        <w:rPr>
          <w:rFonts w:ascii="Aptos Light" w:eastAsia="Aptos Light" w:hAnsi="Aptos Light" w:cs="Aptos Light"/>
          <w:color w:val="000000"/>
          <w:sz w:val="24"/>
          <w:szCs w:val="24"/>
        </w:rPr>
        <w:t xml:space="preserve">. </w:t>
      </w:r>
    </w:p>
    <w:p w14:paraId="7BC23282"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Tale canone di concessione sarà corrisposto in rata unica annuale posticipata.</w:t>
      </w:r>
    </w:p>
    <w:p w14:paraId="6418A9D9"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proofErr w:type="gramStart"/>
      <w:r>
        <w:rPr>
          <w:rFonts w:ascii="Aptos Light" w:eastAsia="Aptos Light" w:hAnsi="Aptos Light" w:cs="Aptos Light"/>
          <w:color w:val="000000"/>
          <w:sz w:val="24"/>
          <w:szCs w:val="24"/>
        </w:rPr>
        <w:t>E’</w:t>
      </w:r>
      <w:proofErr w:type="gramEnd"/>
      <w:r>
        <w:rPr>
          <w:rFonts w:ascii="Aptos Light" w:eastAsia="Aptos Light" w:hAnsi="Aptos Light" w:cs="Aptos Light"/>
          <w:color w:val="000000"/>
          <w:sz w:val="24"/>
          <w:szCs w:val="24"/>
        </w:rPr>
        <w:t xml:space="preserve"> fatta salva a favore del Concessionario l’espressa possibilità di richiedere all’Ente concedente l’autorizzazione allo scomputo dal valore economico del canone concessorio, per ciascuna annualità contrattuale e per l’intera durata del contratto di concessione, di qualsiasi spesa effettivamente sostenuta e documentata entro il limite massimo del valore economico dal canone concessorio annuale.</w:t>
      </w:r>
    </w:p>
    <w:p w14:paraId="2138D728"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Lo scomputo deve essere espressamente autorizzato con provvedimento dell’Ente concedente che, se del caso e con adeguata motivazione, ne può disporre in qualsiasi momento la revoca senza che venga a maturarsi alcuna pretesa economica o di altro genere in favore del Concessionario.</w:t>
      </w:r>
    </w:p>
    <w:p w14:paraId="1CA2CD89" w14:textId="77777777" w:rsidR="004719AC" w:rsidRDefault="00000000">
      <w:pPr>
        <w:pStyle w:val="Titolo1"/>
        <w:spacing w:before="240"/>
        <w:ind w:left="0" w:right="834"/>
        <w:jc w:val="both"/>
        <w:rPr>
          <w:rFonts w:ascii="Aptos Light" w:eastAsia="Aptos Light" w:hAnsi="Aptos Light" w:cs="Aptos Light"/>
        </w:rPr>
      </w:pPr>
      <w:r>
        <w:rPr>
          <w:rFonts w:ascii="Aptos Light" w:eastAsia="Aptos Light" w:hAnsi="Aptos Light" w:cs="Aptos Light"/>
        </w:rPr>
        <w:t>Art. 8 - Divieto di cessione e di subconcessione, anche parziale, del servizio e dell’immobile</w:t>
      </w:r>
    </w:p>
    <w:p w14:paraId="2CB3B67F"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Il Concessionario non potrà cedere la concessione stipulata con l’Ente concedente.</w:t>
      </w:r>
    </w:p>
    <w:p w14:paraId="056CE2AF"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Ad eccezione della fornitura di servizi correlati e funzionali alle prestazioni principali acquisiti presso terzi fornitori, il Concessionario non potrà sub-concedere, neppure parzialmente, i servizi e l’immobile concessi, né potrà cedere, a qualsiasi titolo, la gestione degli spazi ad altro soggetto, seppur collegato e/o partecipato e/o controllato dal conduttore stesso, pena la decadenza dalla concessione.</w:t>
      </w:r>
    </w:p>
    <w:p w14:paraId="3D40FE0F" w14:textId="77777777" w:rsidR="004719AC" w:rsidRDefault="00000000">
      <w:pPr>
        <w:pStyle w:val="Titolo1"/>
        <w:spacing w:before="240"/>
        <w:ind w:left="0"/>
        <w:jc w:val="both"/>
        <w:rPr>
          <w:rFonts w:ascii="Aptos Light" w:eastAsia="Aptos Light" w:hAnsi="Aptos Light" w:cs="Aptos Light"/>
        </w:rPr>
      </w:pPr>
      <w:r>
        <w:rPr>
          <w:rFonts w:ascii="Aptos Light" w:eastAsia="Aptos Light" w:hAnsi="Aptos Light" w:cs="Aptos Light"/>
        </w:rPr>
        <w:t xml:space="preserve">Art. 9 - Cause di decadenza </w:t>
      </w:r>
    </w:p>
    <w:p w14:paraId="015F5EEB" w14:textId="77777777" w:rsidR="004719AC" w:rsidRDefault="00000000">
      <w:pPr>
        <w:pBdr>
          <w:top w:val="nil"/>
          <w:left w:val="nil"/>
          <w:bottom w:val="nil"/>
          <w:right w:val="nil"/>
          <w:between w:val="nil"/>
        </w:pBdr>
        <w:spacing w:before="24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L’Ente concedente potrà dichiarare la decadenza dall’aggiudicazione nei seguenti casi:</w:t>
      </w:r>
    </w:p>
    <w:p w14:paraId="42C90C34" w14:textId="77777777" w:rsidR="004719AC" w:rsidRDefault="00000000">
      <w:pPr>
        <w:numPr>
          <w:ilvl w:val="0"/>
          <w:numId w:val="4"/>
        </w:numPr>
        <w:pBdr>
          <w:top w:val="nil"/>
          <w:left w:val="nil"/>
          <w:bottom w:val="nil"/>
          <w:right w:val="nil"/>
          <w:between w:val="nil"/>
        </w:pBdr>
        <w:tabs>
          <w:tab w:val="left" w:pos="962"/>
          <w:tab w:val="left" w:pos="991"/>
        </w:tabs>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accertamento della falsità di una delle dichiarazioni sottoscritte dal legale rappresentante negli atti di gara;</w:t>
      </w:r>
    </w:p>
    <w:p w14:paraId="35E5EE86" w14:textId="77777777" w:rsidR="004719AC" w:rsidRDefault="00000000">
      <w:pPr>
        <w:numPr>
          <w:ilvl w:val="0"/>
          <w:numId w:val="4"/>
        </w:numPr>
        <w:pBdr>
          <w:top w:val="nil"/>
          <w:left w:val="nil"/>
          <w:bottom w:val="nil"/>
          <w:right w:val="nil"/>
          <w:between w:val="nil"/>
        </w:pBdr>
        <w:tabs>
          <w:tab w:val="left" w:pos="950"/>
          <w:tab w:val="left" w:pos="991"/>
        </w:tabs>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accertamento dell’esistenza di una delle cause impeditive ex lege a contrarre con la Pubblica Amministrazione;</w:t>
      </w:r>
    </w:p>
    <w:p w14:paraId="50FC627F" w14:textId="77777777" w:rsidR="004719AC" w:rsidRDefault="00000000">
      <w:pPr>
        <w:numPr>
          <w:ilvl w:val="0"/>
          <w:numId w:val="4"/>
        </w:numPr>
        <w:pBdr>
          <w:top w:val="nil"/>
          <w:left w:val="nil"/>
          <w:bottom w:val="nil"/>
          <w:right w:val="nil"/>
          <w:between w:val="nil"/>
        </w:pBdr>
        <w:tabs>
          <w:tab w:val="left" w:pos="950"/>
          <w:tab w:val="left" w:pos="991"/>
        </w:tabs>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mancata produzione all’Ente della garanzia definitiva prevista dall’art. 10 del presente Disciplinare di gara;</w:t>
      </w:r>
    </w:p>
    <w:p w14:paraId="7D5B777A" w14:textId="77777777" w:rsidR="004719AC" w:rsidRDefault="00000000">
      <w:pPr>
        <w:numPr>
          <w:ilvl w:val="0"/>
          <w:numId w:val="4"/>
        </w:numPr>
        <w:pBdr>
          <w:top w:val="nil"/>
          <w:left w:val="nil"/>
          <w:bottom w:val="nil"/>
          <w:right w:val="nil"/>
          <w:between w:val="nil"/>
        </w:pBdr>
        <w:tabs>
          <w:tab w:val="left" w:pos="948"/>
          <w:tab w:val="left" w:pos="991"/>
        </w:tabs>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mancata partecipazione alla sottoscrizione della concessione, seppur reiteratamente richiesta tramite comunicazione ufficiale;</w:t>
      </w:r>
    </w:p>
    <w:p w14:paraId="39037F41" w14:textId="77777777" w:rsidR="004719AC" w:rsidRDefault="00000000">
      <w:pPr>
        <w:numPr>
          <w:ilvl w:val="0"/>
          <w:numId w:val="4"/>
        </w:numPr>
        <w:pBdr>
          <w:top w:val="nil"/>
          <w:left w:val="nil"/>
          <w:bottom w:val="nil"/>
          <w:right w:val="nil"/>
          <w:between w:val="nil"/>
        </w:pBdr>
        <w:tabs>
          <w:tab w:val="left" w:pos="948"/>
          <w:tab w:val="left" w:pos="991"/>
        </w:tabs>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inosservanza anche di uno solo dei termini assegnati dall’Ente concedente, per il pagamento della clausola penale e per l’adempimento della prestazione oggetto della contestazione, secondo quanto previsto dal successivo art. 19.</w:t>
      </w:r>
    </w:p>
    <w:p w14:paraId="5635A4DF" w14:textId="77777777" w:rsidR="004719AC" w:rsidRDefault="00000000">
      <w:pPr>
        <w:pBdr>
          <w:top w:val="nil"/>
          <w:left w:val="nil"/>
          <w:bottom w:val="nil"/>
          <w:right w:val="nil"/>
          <w:between w:val="nil"/>
        </w:pBdr>
        <w:spacing w:before="240"/>
        <w:ind w:right="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L’Ente concedente potrà dichiarare la sospensione delle autorizzazioni o degli atti equivalenti rilasciati dall’Ente concedente in caso di mancato pagamento dei tributi comunali, alle condizioni previste dalla vigente normativa in materia e dai regolamenti dell’Ente concedente.</w:t>
      </w:r>
    </w:p>
    <w:p w14:paraId="6302EB0E" w14:textId="77777777" w:rsidR="004719AC" w:rsidRDefault="00000000">
      <w:pPr>
        <w:pStyle w:val="Titolo1"/>
        <w:spacing w:before="240"/>
        <w:ind w:left="0"/>
        <w:jc w:val="both"/>
        <w:rPr>
          <w:rFonts w:ascii="Aptos Light" w:eastAsia="Aptos Light" w:hAnsi="Aptos Light" w:cs="Aptos Light"/>
        </w:rPr>
      </w:pPr>
      <w:r>
        <w:rPr>
          <w:rFonts w:ascii="Aptos Light" w:eastAsia="Aptos Light" w:hAnsi="Aptos Light" w:cs="Aptos Light"/>
        </w:rPr>
        <w:lastRenderedPageBreak/>
        <w:t>Art. 10 - Utenze e tributi locali</w:t>
      </w:r>
    </w:p>
    <w:p w14:paraId="02007572" w14:textId="77777777" w:rsidR="004719AC" w:rsidRDefault="00000000">
      <w:pPr>
        <w:pBdr>
          <w:top w:val="nil"/>
          <w:left w:val="nil"/>
          <w:bottom w:val="nil"/>
          <w:right w:val="nil"/>
          <w:between w:val="nil"/>
        </w:pBdr>
        <w:spacing w:before="240"/>
        <w:ind w:right="14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Sono a carico del Concessionario sia il pagamento dei consumi relativi alle utenze sia l'attivazione/intestazione delle stesse, nonché il pagamento dei tributi locali. (a titolo esemplificativo e non esaustivo: acqua, energia elettrica, gas, TARI).</w:t>
      </w:r>
    </w:p>
    <w:p w14:paraId="66A64578" w14:textId="77777777" w:rsidR="004719AC" w:rsidRDefault="00000000">
      <w:pPr>
        <w:pStyle w:val="Titolo1"/>
        <w:spacing w:before="240"/>
        <w:ind w:left="0"/>
        <w:jc w:val="both"/>
        <w:rPr>
          <w:rFonts w:ascii="Aptos Light" w:eastAsia="Aptos Light" w:hAnsi="Aptos Light" w:cs="Aptos Light"/>
        </w:rPr>
      </w:pPr>
      <w:r>
        <w:rPr>
          <w:rFonts w:ascii="Aptos Light" w:eastAsia="Aptos Light" w:hAnsi="Aptos Light" w:cs="Aptos Light"/>
        </w:rPr>
        <w:t>Art. 11 - Modifiche della struttura</w:t>
      </w:r>
    </w:p>
    <w:p w14:paraId="13C3E923"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II Concessionario non potrà apportare alcuna modifica, innovazione, miglioria o addizione alla struttura concessa, alla sua destinazione ed agli impianti esistenti senza la preventiva autorizzazione espressa rilasciata dall’Ente concedente sulla base di specifica e documentata istanza formulata dal Concessionario.</w:t>
      </w:r>
    </w:p>
    <w:p w14:paraId="5DD39458"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b/>
          <w:color w:val="000000"/>
          <w:sz w:val="24"/>
          <w:szCs w:val="24"/>
        </w:rPr>
      </w:pPr>
      <w:r>
        <w:rPr>
          <w:rFonts w:ascii="Aptos Light" w:eastAsia="Aptos Light" w:hAnsi="Aptos Light" w:cs="Aptos Light"/>
          <w:b/>
          <w:color w:val="000000"/>
          <w:sz w:val="24"/>
          <w:szCs w:val="24"/>
        </w:rPr>
        <w:t>Art. 12 - Riqualificazione energetica dell’immobile</w:t>
      </w:r>
    </w:p>
    <w:p w14:paraId="18EEC964"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In relazione di disposto del precedente art. 11 il Concessionario potrà realizzare tutte le attività finalizzate alla riqualificazione energetica dell’immobile oggetto di concessione.</w:t>
      </w:r>
    </w:p>
    <w:p w14:paraId="1BB0B781"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Il Concessionario è, pertanto, autorizzato a presentare, in autonomia e a proprio nome, istanze di accesso a incentivi, contributi e finanziamenti pubblici di ogni ordine e grado, connessi alla riqualificazione energetica e all’efficientamento dell’immobile, incluso l’utilizzo di sistemi per la produzione autonoma di energia da fonti rinnovabili, anche mediante la partecipazione a comunità energetiche rinnovabili (CER) come declinate dall’art. 31 del D. Lgs. n. 199//2021 e/o mediante l’accesso delle iniziative giuridico-amministrative </w:t>
      </w:r>
      <w:r>
        <w:rPr>
          <w:rFonts w:ascii="Aptos Light" w:eastAsia="Aptos Light" w:hAnsi="Aptos Light" w:cs="Aptos Light"/>
          <w:sz w:val="24"/>
          <w:szCs w:val="24"/>
        </w:rPr>
        <w:t>comprese</w:t>
      </w:r>
      <w:r>
        <w:rPr>
          <w:rFonts w:ascii="Aptos Light" w:eastAsia="Aptos Light" w:hAnsi="Aptos Light" w:cs="Aptos Light"/>
          <w:color w:val="000000"/>
          <w:sz w:val="24"/>
          <w:szCs w:val="24"/>
        </w:rPr>
        <w:t xml:space="preserve"> sotto la voce “Conto Termico”.</w:t>
      </w:r>
    </w:p>
    <w:p w14:paraId="657C8FDA"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Al riguardo di dispone quanto segue:</w:t>
      </w:r>
    </w:p>
    <w:p w14:paraId="76A77CAD"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E’ riconosciuta ed ammessa la facoltà del Concessionario di poter, autonomamente e in qualità di gestore, presentare domande di accesso a incentivi, finanziamenti e contributi di ogni ordine e grado finalizzati alla riqualificazione energetica, alla produzione autonoma di energia da fonti rinnovabili e alla riduzione dei consumi energetici dell’impianto nonché presentare domande di accesso a incentivi, finanziamenti e contributi di ogni ordine e grado finalizzati alla riqualificazione energetica e alla produzione autonoma di energia da fonti rinnovabili.</w:t>
      </w:r>
    </w:p>
    <w:p w14:paraId="1266FAED"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L’esigenza di procedere a tali interventi risulta essere indispensabile e strategica per:</w:t>
      </w:r>
    </w:p>
    <w:p w14:paraId="13B5162A" w14:textId="77777777" w:rsidR="004719AC" w:rsidRDefault="00000000">
      <w:pPr>
        <w:numPr>
          <w:ilvl w:val="0"/>
          <w:numId w:val="8"/>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Assicurare la sostenibilità gestionale dell’impianto sportivo;</w:t>
      </w:r>
    </w:p>
    <w:p w14:paraId="25200859" w14:textId="77777777" w:rsidR="004719AC" w:rsidRDefault="00000000">
      <w:pPr>
        <w:numPr>
          <w:ilvl w:val="0"/>
          <w:numId w:val="8"/>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Rendere l’impianto autosufficiente dal punto di vista energetico;</w:t>
      </w:r>
    </w:p>
    <w:p w14:paraId="58ED15EC" w14:textId="77777777" w:rsidR="004719AC" w:rsidRDefault="00000000">
      <w:pPr>
        <w:numPr>
          <w:ilvl w:val="0"/>
          <w:numId w:val="8"/>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Abbattere i costi di gestione, soprattutto per quanto concerne il riscaldamento dell’acqua, principale voce di spesa, attualmente insostenibile per via dell’alimentazione a gas GPL, con costi di approvvigionamento e consumo elevatissimi.</w:t>
      </w:r>
    </w:p>
    <w:p w14:paraId="1A6EE58A"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Tale facoltà comprende anche:</w:t>
      </w:r>
    </w:p>
    <w:p w14:paraId="2B689AB4" w14:textId="77777777" w:rsidR="004719AC" w:rsidRDefault="00000000">
      <w:pPr>
        <w:numPr>
          <w:ilvl w:val="0"/>
          <w:numId w:val="6"/>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 partecipazione a Comunità Energetiche Rinnovabili (CER), come disciplinate dall’art. 31 del D.</w:t>
      </w:r>
      <w:r w:rsidR="00DE0B49">
        <w:rPr>
          <w:rFonts w:ascii="Aptos Light" w:eastAsia="Aptos Light" w:hAnsi="Aptos Light" w:cs="Aptos Light"/>
          <w:color w:val="000000"/>
          <w:sz w:val="24"/>
          <w:szCs w:val="24"/>
        </w:rPr>
        <w:t xml:space="preserve"> </w:t>
      </w:r>
      <w:r>
        <w:rPr>
          <w:rFonts w:ascii="Aptos Light" w:eastAsia="Aptos Light" w:hAnsi="Aptos Light" w:cs="Aptos Light"/>
          <w:color w:val="000000"/>
          <w:sz w:val="24"/>
          <w:szCs w:val="24"/>
        </w:rPr>
        <w:t>Lgs. n. 199/2021;</w:t>
      </w:r>
    </w:p>
    <w:p w14:paraId="6703AE60" w14:textId="77777777" w:rsidR="004719AC" w:rsidRDefault="00000000">
      <w:pPr>
        <w:numPr>
          <w:ilvl w:val="0"/>
          <w:numId w:val="6"/>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L’accesso a misure di incentivazione nell’ambito del “Conto Termico” (D.M. 16/02/2016 e ss.mm.ii.) per interventi di efficienza energetica e utilizzo di energie rinnovabili</w:t>
      </w:r>
      <w:r w:rsidR="00DE0B49">
        <w:rPr>
          <w:rFonts w:ascii="Aptos Light" w:eastAsia="Aptos Light" w:hAnsi="Aptos Light" w:cs="Aptos Light"/>
          <w:color w:val="000000"/>
          <w:sz w:val="24"/>
          <w:szCs w:val="24"/>
        </w:rPr>
        <w:t xml:space="preserve"> (Conto </w:t>
      </w:r>
      <w:r w:rsidR="00DE0B49">
        <w:rPr>
          <w:rFonts w:ascii="Aptos Light" w:eastAsia="Aptos Light" w:hAnsi="Aptos Light" w:cs="Aptos Light"/>
          <w:color w:val="000000"/>
          <w:sz w:val="24"/>
          <w:szCs w:val="24"/>
        </w:rPr>
        <w:lastRenderedPageBreak/>
        <w:t>Termico 3.0 e successivi)</w:t>
      </w:r>
      <w:r>
        <w:rPr>
          <w:rFonts w:ascii="Aptos Light" w:eastAsia="Aptos Light" w:hAnsi="Aptos Light" w:cs="Aptos Light"/>
          <w:color w:val="000000"/>
          <w:sz w:val="24"/>
          <w:szCs w:val="24"/>
        </w:rPr>
        <w:t>.</w:t>
      </w:r>
    </w:p>
    <w:p w14:paraId="1345818E"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Di seguito si espone, in dettaglio, la suddetta facoltà posta in favore del Concessionario:</w:t>
      </w:r>
    </w:p>
    <w:p w14:paraId="6C87CE8B"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12.1 Oggetto dell’intervento</w:t>
      </w:r>
    </w:p>
    <w:p w14:paraId="310B9FE9" w14:textId="77777777" w:rsidR="004719AC" w:rsidRDefault="00000000">
      <w:pPr>
        <w:numPr>
          <w:ilvl w:val="0"/>
          <w:numId w:val="7"/>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Denominazione impianto: Piscina Coperta di Campomaggiore</w:t>
      </w:r>
    </w:p>
    <w:p w14:paraId="26027966" w14:textId="77777777" w:rsidR="004719AC" w:rsidRDefault="00000000">
      <w:pPr>
        <w:numPr>
          <w:ilvl w:val="0"/>
          <w:numId w:val="7"/>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Ubicazione: Area PIP – Comune di Campomaggiore (PZ)</w:t>
      </w:r>
    </w:p>
    <w:p w14:paraId="47F80A08" w14:textId="77777777" w:rsidR="004719AC" w:rsidRDefault="00000000">
      <w:pPr>
        <w:numPr>
          <w:ilvl w:val="0"/>
          <w:numId w:val="7"/>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Identificazione catastale: Foglio 8, Particella 792, Cat. D/6, Rendita Catastale € 19.592,50</w:t>
      </w:r>
    </w:p>
    <w:p w14:paraId="11A5B5CB" w14:textId="77777777" w:rsidR="004719AC" w:rsidRDefault="00000000">
      <w:pPr>
        <w:numPr>
          <w:ilvl w:val="0"/>
          <w:numId w:val="7"/>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Estensione complessiva: mq. 5.996 (mq. 1.667 coperti – fabbricati, mq. 4.329 pertinenze scoperte, mq. 140 locali tecnici interrati)</w:t>
      </w:r>
    </w:p>
    <w:p w14:paraId="1D3BDAE8" w14:textId="77777777" w:rsidR="004719AC" w:rsidRDefault="00000000">
      <w:pPr>
        <w:numPr>
          <w:ilvl w:val="0"/>
          <w:numId w:val="7"/>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Titolo di proprietà: Regione Basilicata – DPGR N. 202400051 del 4 marzo 2024</w:t>
      </w:r>
    </w:p>
    <w:p w14:paraId="1C49A590" w14:textId="77777777" w:rsidR="004719AC" w:rsidRDefault="00000000">
      <w:pPr>
        <w:numPr>
          <w:ilvl w:val="0"/>
          <w:numId w:val="7"/>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Titolarità del Concessionario: Concessione di servizi pluriennale per la gestione dell’impianto (durata 15 anni, rinnovabile per ulteriori 15 anni).</w:t>
      </w:r>
    </w:p>
    <w:p w14:paraId="50615064"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b/>
          <w:color w:val="000000"/>
          <w:sz w:val="24"/>
          <w:szCs w:val="24"/>
        </w:rPr>
      </w:pPr>
      <w:r>
        <w:rPr>
          <w:rFonts w:ascii="Aptos Light" w:eastAsia="Aptos Light" w:hAnsi="Aptos Light" w:cs="Aptos Light"/>
          <w:b/>
          <w:color w:val="000000"/>
          <w:sz w:val="24"/>
          <w:szCs w:val="24"/>
        </w:rPr>
        <w:t>12.2 Contesto energetico e necessità della riqualificazione</w:t>
      </w:r>
    </w:p>
    <w:p w14:paraId="4055E651"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 Piscina Coperta di Campomaggiore, allo stato attuale, è alimentata a gas GPL, il cui approvvigionamento risulta oneroso sia in termini economici che logistici.</w:t>
      </w:r>
      <w:r>
        <w:rPr>
          <w:rFonts w:ascii="Aptos Light" w:eastAsia="Aptos Light" w:hAnsi="Aptos Light" w:cs="Aptos Light"/>
          <w:color w:val="000000"/>
          <w:sz w:val="24"/>
          <w:szCs w:val="24"/>
        </w:rPr>
        <w:br/>
        <w:t>La voce di costo energetico legata al riscaldamento dell’acqua rappresenta la principale spesa di gestione dell’impianto, incidendo negativamente sulla sostenibilità finanziaria e rendendo estremamente difficoltosa l’attrattività della concessione per potenziali operatori economici.</w:t>
      </w:r>
    </w:p>
    <w:p w14:paraId="3A719109"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In assenza di interventi strutturali volti ad abbattere tale voce di costo attraverso:</w:t>
      </w:r>
    </w:p>
    <w:p w14:paraId="31D5D76B" w14:textId="77777777" w:rsidR="004719AC" w:rsidRDefault="00000000">
      <w:pPr>
        <w:numPr>
          <w:ilvl w:val="0"/>
          <w:numId w:val="9"/>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Interventi di coibentazione e miglioramento dell’involucro edilizio;</w:t>
      </w:r>
    </w:p>
    <w:p w14:paraId="73B5F2D8" w14:textId="77777777" w:rsidR="004719AC" w:rsidRDefault="00000000">
      <w:pPr>
        <w:numPr>
          <w:ilvl w:val="0"/>
          <w:numId w:val="9"/>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Installazione di sistemi di produzione di energia da fonti rinnovabili (fotovoltaico, solare termico, pompe di calore, biomassa, ecc.);</w:t>
      </w:r>
    </w:p>
    <w:p w14:paraId="2632338B" w14:textId="77777777" w:rsidR="004719AC" w:rsidRDefault="00000000">
      <w:pPr>
        <w:numPr>
          <w:ilvl w:val="0"/>
          <w:numId w:val="9"/>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Partecipazione a Comunità Energetiche Rinnovabili (CER);</w:t>
      </w:r>
    </w:p>
    <w:p w14:paraId="6EF024B3"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risulterà problematico individuare soggetti concessionari disposti a gestire l’impianto in condizioni di equilibrio economico-finanziario.</w:t>
      </w:r>
    </w:p>
    <w:p w14:paraId="0DBCD2A1"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 riqualificazione energetica è pertanto condizione imprescindibile per garantire:</w:t>
      </w:r>
    </w:p>
    <w:p w14:paraId="1FE917AC" w14:textId="77777777" w:rsidR="004719AC" w:rsidRDefault="00000000">
      <w:pPr>
        <w:numPr>
          <w:ilvl w:val="0"/>
          <w:numId w:val="10"/>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 continuità di fruizione pubblica dell’impianto;</w:t>
      </w:r>
    </w:p>
    <w:p w14:paraId="4C3DE944" w14:textId="77777777" w:rsidR="004719AC" w:rsidRDefault="00000000">
      <w:pPr>
        <w:numPr>
          <w:ilvl w:val="0"/>
          <w:numId w:val="10"/>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 sostenibilità economica della gestione pluriennale;</w:t>
      </w:r>
    </w:p>
    <w:p w14:paraId="7E2AAFFD" w14:textId="77777777" w:rsidR="004719AC" w:rsidRDefault="00000000">
      <w:pPr>
        <w:numPr>
          <w:ilvl w:val="0"/>
          <w:numId w:val="10"/>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L’interesse pubblico alla valorizzazione e alla funzionalità della struttura.</w:t>
      </w:r>
    </w:p>
    <w:p w14:paraId="46AE7864"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b/>
          <w:color w:val="000000"/>
          <w:sz w:val="24"/>
          <w:szCs w:val="24"/>
        </w:rPr>
      </w:pPr>
      <w:r>
        <w:rPr>
          <w:rFonts w:ascii="Aptos Light" w:eastAsia="Aptos Light" w:hAnsi="Aptos Light" w:cs="Aptos Light"/>
          <w:b/>
          <w:color w:val="000000"/>
          <w:sz w:val="24"/>
          <w:szCs w:val="24"/>
        </w:rPr>
        <w:t>12.3 Inquadramento normativo</w:t>
      </w:r>
    </w:p>
    <w:p w14:paraId="2E4D7B5B"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La normativa vigente, unitamente alle politiche di transizione ecologica a livello nazionale e comunitario, consente agli enti pubblici di affidare ai concessionari di servizi pluriennali la </w:t>
      </w:r>
      <w:r>
        <w:rPr>
          <w:rFonts w:ascii="Aptos Light" w:eastAsia="Aptos Light" w:hAnsi="Aptos Light" w:cs="Aptos Light"/>
          <w:color w:val="000000"/>
          <w:sz w:val="24"/>
          <w:szCs w:val="24"/>
        </w:rPr>
        <w:lastRenderedPageBreak/>
        <w:t>possibilità di:</w:t>
      </w:r>
    </w:p>
    <w:p w14:paraId="6D822287" w14:textId="77777777" w:rsidR="004719AC" w:rsidRDefault="00000000">
      <w:pPr>
        <w:numPr>
          <w:ilvl w:val="0"/>
          <w:numId w:val="11"/>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Utilizzare gli immobili in concessione per realizzare interventi di efficientamento energetico e autosufficienza produttiva;</w:t>
      </w:r>
    </w:p>
    <w:p w14:paraId="34739865" w14:textId="77777777" w:rsidR="004719AC" w:rsidRDefault="00000000">
      <w:pPr>
        <w:numPr>
          <w:ilvl w:val="0"/>
          <w:numId w:val="11"/>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Accedere, in qualità di soggetti gestori, a misure di incentivazione e finanziamento, anche mediante:</w:t>
      </w:r>
    </w:p>
    <w:p w14:paraId="51AA1E33" w14:textId="77777777" w:rsidR="004719AC" w:rsidRDefault="00000000">
      <w:pPr>
        <w:numPr>
          <w:ilvl w:val="1"/>
          <w:numId w:val="11"/>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Costituzione di diritti di superficie pro quota;</w:t>
      </w:r>
    </w:p>
    <w:p w14:paraId="06557D9F" w14:textId="77777777" w:rsidR="004719AC" w:rsidRDefault="00000000">
      <w:pPr>
        <w:numPr>
          <w:ilvl w:val="1"/>
          <w:numId w:val="11"/>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Adesione a Comunità Energetiche Rinnovabili (CER).</w:t>
      </w:r>
    </w:p>
    <w:p w14:paraId="18C0F03D"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b/>
          <w:color w:val="000000"/>
          <w:sz w:val="24"/>
          <w:szCs w:val="24"/>
        </w:rPr>
        <w:t>12.4 Principali riferimenti normativi:</w:t>
      </w:r>
    </w:p>
    <w:p w14:paraId="3CCD25D5" w14:textId="1BCAF097" w:rsidR="004719AC" w:rsidRDefault="00000000">
      <w:pPr>
        <w:numPr>
          <w:ilvl w:val="0"/>
          <w:numId w:val="12"/>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D.</w:t>
      </w:r>
      <w:r w:rsidR="00736616">
        <w:rPr>
          <w:rFonts w:ascii="Aptos Light" w:eastAsia="Aptos Light" w:hAnsi="Aptos Light" w:cs="Aptos Light"/>
          <w:color w:val="000000"/>
          <w:sz w:val="24"/>
          <w:szCs w:val="24"/>
        </w:rPr>
        <w:t xml:space="preserve"> </w:t>
      </w:r>
      <w:r>
        <w:rPr>
          <w:rFonts w:ascii="Aptos Light" w:eastAsia="Aptos Light" w:hAnsi="Aptos Light" w:cs="Aptos Light"/>
          <w:color w:val="000000"/>
          <w:sz w:val="24"/>
          <w:szCs w:val="24"/>
        </w:rPr>
        <w:t>Lgs. 36/2023 (Codice dei Contratti Pubblici), art. 188 e ss.;</w:t>
      </w:r>
    </w:p>
    <w:p w14:paraId="253135C5" w14:textId="77777777" w:rsidR="004719AC" w:rsidRDefault="00000000">
      <w:pPr>
        <w:numPr>
          <w:ilvl w:val="0"/>
          <w:numId w:val="12"/>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Codice Civile, artt. 952 e ss. (Diritto di superficie);</w:t>
      </w:r>
    </w:p>
    <w:p w14:paraId="6BE894CA" w14:textId="537C86CE" w:rsidR="004719AC" w:rsidRDefault="00000000">
      <w:pPr>
        <w:numPr>
          <w:ilvl w:val="0"/>
          <w:numId w:val="12"/>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D.</w:t>
      </w:r>
      <w:r w:rsidR="00736616">
        <w:rPr>
          <w:rFonts w:ascii="Aptos Light" w:eastAsia="Aptos Light" w:hAnsi="Aptos Light" w:cs="Aptos Light"/>
          <w:color w:val="000000"/>
          <w:sz w:val="24"/>
          <w:szCs w:val="24"/>
        </w:rPr>
        <w:t xml:space="preserve"> </w:t>
      </w:r>
      <w:r>
        <w:rPr>
          <w:rFonts w:ascii="Aptos Light" w:eastAsia="Aptos Light" w:hAnsi="Aptos Light" w:cs="Aptos Light"/>
          <w:color w:val="000000"/>
          <w:sz w:val="24"/>
          <w:szCs w:val="24"/>
        </w:rPr>
        <w:t>Lgs. 199/2021, art. 31 (Comunità Energetiche Rinnovabili);</w:t>
      </w:r>
    </w:p>
    <w:p w14:paraId="54A0FB7F" w14:textId="77777777" w:rsidR="004719AC" w:rsidRDefault="00000000">
      <w:pPr>
        <w:numPr>
          <w:ilvl w:val="0"/>
          <w:numId w:val="12"/>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D.M. 16/02/2016 (Conto Termico);</w:t>
      </w:r>
    </w:p>
    <w:p w14:paraId="3EDD298D" w14:textId="77777777" w:rsidR="004719AC" w:rsidRDefault="00000000">
      <w:pPr>
        <w:numPr>
          <w:ilvl w:val="0"/>
          <w:numId w:val="12"/>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Linee Guida ANAC per le concessioni di servizi;</w:t>
      </w:r>
    </w:p>
    <w:p w14:paraId="458FEE13" w14:textId="77777777" w:rsidR="004719AC" w:rsidRDefault="00000000">
      <w:pPr>
        <w:numPr>
          <w:ilvl w:val="0"/>
          <w:numId w:val="12"/>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Programmi PNRR e fondi regionali per l’efficientamento energetico degli impianti sportivi pubblici.</w:t>
      </w:r>
    </w:p>
    <w:p w14:paraId="3DAD1F4D"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b/>
          <w:color w:val="000000"/>
          <w:sz w:val="24"/>
          <w:szCs w:val="24"/>
        </w:rPr>
      </w:pPr>
      <w:r>
        <w:rPr>
          <w:rFonts w:ascii="Aptos Light" w:eastAsia="Aptos Light" w:hAnsi="Aptos Light" w:cs="Aptos Light"/>
          <w:b/>
          <w:color w:val="000000"/>
          <w:sz w:val="24"/>
          <w:szCs w:val="24"/>
        </w:rPr>
        <w:t>12.5 Facoltà del concessionario e strumenti di finanziamento</w:t>
      </w:r>
    </w:p>
    <w:p w14:paraId="3596A2FE"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Il Concessionario, in virtù del titolo di disponibilità derivante dalla concessione di servizi, potrà essere formalmente autorizzato a:</w:t>
      </w:r>
    </w:p>
    <w:p w14:paraId="6EF7B1D4" w14:textId="77777777" w:rsidR="004719AC" w:rsidRDefault="00000000">
      <w:pPr>
        <w:numPr>
          <w:ilvl w:val="0"/>
          <w:numId w:val="13"/>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Utilizzare l’immobile per la realizzazione di interventi di riqualificazione energetica, con accesso autonomo a incentivi e finanziamenti;</w:t>
      </w:r>
    </w:p>
    <w:p w14:paraId="2F6DFDC4" w14:textId="77777777" w:rsidR="004719AC" w:rsidRDefault="00000000">
      <w:pPr>
        <w:numPr>
          <w:ilvl w:val="0"/>
          <w:numId w:val="13"/>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Partecipare a Comunità Energetiche Rinnovabili</w:t>
      </w:r>
      <w:r>
        <w:rPr>
          <w:rFonts w:ascii="Aptos Light" w:eastAsia="Aptos Light" w:hAnsi="Aptos Light" w:cs="Aptos Light"/>
          <w:sz w:val="24"/>
          <w:szCs w:val="24"/>
        </w:rPr>
        <w:t xml:space="preserve"> </w:t>
      </w:r>
      <w:r>
        <w:rPr>
          <w:rFonts w:ascii="Aptos Light" w:eastAsia="Aptos Light" w:hAnsi="Aptos Light" w:cs="Aptos Light"/>
          <w:color w:val="000000"/>
          <w:sz w:val="24"/>
          <w:szCs w:val="24"/>
        </w:rPr>
        <w:t>(CER) in qualità di produttore/autoconsumatore;</w:t>
      </w:r>
    </w:p>
    <w:p w14:paraId="29AD0379" w14:textId="77777777" w:rsidR="004719AC" w:rsidRDefault="00000000">
      <w:pPr>
        <w:numPr>
          <w:ilvl w:val="0"/>
          <w:numId w:val="13"/>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Presentare domande di incentivo ai sensi del Conto Termico per interventi di efficientamento e installazione di impianti FER.</w:t>
      </w:r>
    </w:p>
    <w:p w14:paraId="6D6B066E"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b/>
          <w:color w:val="000000"/>
          <w:sz w:val="24"/>
          <w:szCs w:val="24"/>
        </w:rPr>
      </w:pPr>
      <w:r>
        <w:rPr>
          <w:rFonts w:ascii="Aptos Light" w:eastAsia="Aptos Light" w:hAnsi="Aptos Light" w:cs="Aptos Light"/>
          <w:b/>
          <w:color w:val="000000"/>
          <w:sz w:val="24"/>
          <w:szCs w:val="24"/>
        </w:rPr>
        <w:t>12.6 Strumenti finanziari attivabili</w:t>
      </w:r>
    </w:p>
    <w:p w14:paraId="3DE2A31F" w14:textId="6B4C5E48" w:rsidR="004719AC" w:rsidRDefault="00000000">
      <w:pPr>
        <w:numPr>
          <w:ilvl w:val="0"/>
          <w:numId w:val="14"/>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Comunità Energetiche Rinnovabili (CER) – art. 31 D.</w:t>
      </w:r>
      <w:r w:rsidR="00736616">
        <w:rPr>
          <w:rFonts w:ascii="Aptos Light" w:eastAsia="Aptos Light" w:hAnsi="Aptos Light" w:cs="Aptos Light"/>
          <w:color w:val="000000"/>
          <w:sz w:val="24"/>
          <w:szCs w:val="24"/>
        </w:rPr>
        <w:t xml:space="preserve"> </w:t>
      </w:r>
      <w:r>
        <w:rPr>
          <w:rFonts w:ascii="Aptos Light" w:eastAsia="Aptos Light" w:hAnsi="Aptos Light" w:cs="Aptos Light"/>
          <w:color w:val="000000"/>
          <w:sz w:val="24"/>
          <w:szCs w:val="24"/>
        </w:rPr>
        <w:t>Lgs. 199/2021;</w:t>
      </w:r>
    </w:p>
    <w:p w14:paraId="3A98AB29" w14:textId="77777777" w:rsidR="004719AC" w:rsidRDefault="00000000">
      <w:pPr>
        <w:numPr>
          <w:ilvl w:val="0"/>
          <w:numId w:val="14"/>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Conto Termico (D.M. 16/02/2016 e ss.mm.ii.);</w:t>
      </w:r>
    </w:p>
    <w:p w14:paraId="0DEB2801" w14:textId="77777777" w:rsidR="004719AC" w:rsidRDefault="00000000">
      <w:pPr>
        <w:numPr>
          <w:ilvl w:val="0"/>
          <w:numId w:val="14"/>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PNRR – Missione 2 (Transizione Ecologica e Sport e Inclusione);</w:t>
      </w:r>
    </w:p>
    <w:p w14:paraId="116A5541" w14:textId="77777777" w:rsidR="004719AC" w:rsidRDefault="00000000">
      <w:pPr>
        <w:numPr>
          <w:ilvl w:val="0"/>
          <w:numId w:val="14"/>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Fondi Regionali Basilicata per CER e Efficientamento Energetico.</w:t>
      </w:r>
    </w:p>
    <w:p w14:paraId="37555C81"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b/>
          <w:color w:val="000000"/>
          <w:sz w:val="24"/>
          <w:szCs w:val="24"/>
        </w:rPr>
      </w:pPr>
      <w:r>
        <w:rPr>
          <w:rFonts w:ascii="Aptos Light" w:eastAsia="Aptos Light" w:hAnsi="Aptos Light" w:cs="Aptos Light"/>
          <w:b/>
          <w:color w:val="000000"/>
          <w:sz w:val="24"/>
          <w:szCs w:val="24"/>
        </w:rPr>
        <w:t>12.6 Strumento giuridico necessario: diritto di superficie</w:t>
      </w:r>
    </w:p>
    <w:p w14:paraId="60CA9C0D"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lastRenderedPageBreak/>
        <w:t>Per garantire la legittimazione piena e diretta al Concessionario di accedere a tali misure, l’Ente concedente dovrà:</w:t>
      </w:r>
    </w:p>
    <w:p w14:paraId="57D17ABC" w14:textId="77777777" w:rsidR="004719AC" w:rsidRDefault="00000000">
      <w:pPr>
        <w:numPr>
          <w:ilvl w:val="0"/>
          <w:numId w:val="15"/>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Costituire, con atto formale e trascrivibile, un diritto di superficie pro quota sull’immobile e relative pertinenze funzionali;</w:t>
      </w:r>
    </w:p>
    <w:p w14:paraId="1A5E5A3D" w14:textId="77777777" w:rsidR="004719AC" w:rsidRDefault="00000000">
      <w:pPr>
        <w:numPr>
          <w:ilvl w:val="0"/>
          <w:numId w:val="15"/>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Delimitare il diritto di superficie alla durata della concessione e agli spazi necessari per l’installazione di impianti tecnologici di produzione e risparmio energetico;</w:t>
      </w:r>
    </w:p>
    <w:p w14:paraId="30B884C4" w14:textId="77777777" w:rsidR="004719AC" w:rsidRDefault="00000000">
      <w:pPr>
        <w:numPr>
          <w:ilvl w:val="0"/>
          <w:numId w:val="15"/>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Prevedere esplicita facoltà di partecipazione del Concessionario a CER e di accesso diretto agli incentivi pubblici e privati.</w:t>
      </w:r>
    </w:p>
    <w:p w14:paraId="31CA2C4B"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b/>
          <w:color w:val="000000"/>
          <w:sz w:val="24"/>
          <w:szCs w:val="24"/>
        </w:rPr>
      </w:pPr>
      <w:r>
        <w:rPr>
          <w:rFonts w:ascii="Aptos Light" w:eastAsia="Aptos Light" w:hAnsi="Aptos Light" w:cs="Aptos Light"/>
          <w:b/>
          <w:color w:val="000000"/>
          <w:sz w:val="24"/>
          <w:szCs w:val="24"/>
        </w:rPr>
        <w:t>12.7 Finalità</w:t>
      </w:r>
    </w:p>
    <w:p w14:paraId="341211F6"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La </w:t>
      </w:r>
      <w:r w:rsidRPr="00736616">
        <w:rPr>
          <w:rFonts w:ascii="Aptos Light" w:eastAsia="Aptos Light" w:hAnsi="Aptos Light" w:cs="Aptos Light"/>
          <w:bCs/>
          <w:color w:val="000000"/>
          <w:sz w:val="24"/>
          <w:szCs w:val="24"/>
        </w:rPr>
        <w:t>riqualificazione energetica dell’impianto sportivo “Piscina Coperta di Campomaggiore” costituisce un’esigenza fondamentale ed inderogabile</w:t>
      </w:r>
      <w:r>
        <w:rPr>
          <w:rFonts w:ascii="Aptos Light" w:eastAsia="Aptos Light" w:hAnsi="Aptos Light" w:cs="Aptos Light"/>
          <w:color w:val="000000"/>
          <w:sz w:val="24"/>
          <w:szCs w:val="24"/>
        </w:rPr>
        <w:t xml:space="preserve"> per garantire:</w:t>
      </w:r>
    </w:p>
    <w:p w14:paraId="3447E69B" w14:textId="77777777" w:rsidR="004719AC" w:rsidRDefault="00000000">
      <w:pPr>
        <w:numPr>
          <w:ilvl w:val="0"/>
          <w:numId w:val="16"/>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 sostenibilità economica della gestione;</w:t>
      </w:r>
    </w:p>
    <w:p w14:paraId="456692CA" w14:textId="77777777" w:rsidR="004719AC" w:rsidRDefault="00000000">
      <w:pPr>
        <w:numPr>
          <w:ilvl w:val="0"/>
          <w:numId w:val="16"/>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L’abbattimento delle spese di approvvigionamento energetico, in particolare per il riscaldamento dell’acqua;</w:t>
      </w:r>
    </w:p>
    <w:p w14:paraId="0B1A17FE" w14:textId="77777777" w:rsidR="004719AC" w:rsidRDefault="00000000">
      <w:pPr>
        <w:numPr>
          <w:ilvl w:val="0"/>
          <w:numId w:val="16"/>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L’attrattività del bando per soggetti concessionari.</w:t>
      </w:r>
    </w:p>
    <w:p w14:paraId="03171F21"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Alla luce di quanto esposto, è necessario che l’Amministrazione Comunale:</w:t>
      </w:r>
    </w:p>
    <w:p w14:paraId="2911DCC7" w14:textId="77777777" w:rsidR="004719AC" w:rsidRDefault="00000000">
      <w:pPr>
        <w:numPr>
          <w:ilvl w:val="0"/>
          <w:numId w:val="17"/>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Formalizzi nel contratto di concessione (o atto integrativo) la facoltà per il Concessionario di utilizzare l’immobile per la richiesta autonoma di incentivi;</w:t>
      </w:r>
    </w:p>
    <w:p w14:paraId="2D4F8315" w14:textId="77777777" w:rsidR="004719AC" w:rsidRDefault="00000000">
      <w:pPr>
        <w:numPr>
          <w:ilvl w:val="0"/>
          <w:numId w:val="17"/>
        </w:num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Costituisca, per le finalità di cui sopra, un diritto di superficie funzionale e limitato alla durata della concessione.</w:t>
      </w:r>
    </w:p>
    <w:p w14:paraId="5E647D5E" w14:textId="77777777" w:rsidR="004719AC" w:rsidRDefault="00000000">
      <w:pPr>
        <w:pBdr>
          <w:top w:val="nil"/>
          <w:left w:val="nil"/>
          <w:bottom w:val="nil"/>
          <w:right w:val="nil"/>
          <w:between w:val="nil"/>
        </w:pBdr>
        <w:spacing w:before="240"/>
        <w:ind w:right="144"/>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 possibilità per il Concessionario di accedere autonomamente a CER (art. 31 D.Lgs. 199/2021) e al Conto Termico (D.M. 16/02/2016) rappresenta, ad oggi, una condizione imprescindibile per assicurare la continuità di gestione dell’impianto in equilibrio economico-finanziario.</w:t>
      </w:r>
    </w:p>
    <w:p w14:paraId="502A5697" w14:textId="77777777" w:rsidR="004719AC" w:rsidRDefault="00000000">
      <w:pPr>
        <w:pStyle w:val="Titolo1"/>
        <w:spacing w:before="240"/>
        <w:ind w:left="0"/>
        <w:jc w:val="both"/>
        <w:rPr>
          <w:rFonts w:ascii="Aptos Light" w:eastAsia="Aptos Light" w:hAnsi="Aptos Light" w:cs="Aptos Light"/>
        </w:rPr>
      </w:pPr>
      <w:r>
        <w:rPr>
          <w:rFonts w:ascii="Aptos Light" w:eastAsia="Aptos Light" w:hAnsi="Aptos Light" w:cs="Aptos Light"/>
        </w:rPr>
        <w:t>Art. 13 - Responsabilità del Concessionario</w:t>
      </w:r>
    </w:p>
    <w:p w14:paraId="0348B7B9" w14:textId="77777777" w:rsidR="004719AC" w:rsidRDefault="00000000">
      <w:pPr>
        <w:pBdr>
          <w:top w:val="nil"/>
          <w:left w:val="nil"/>
          <w:bottom w:val="nil"/>
          <w:right w:val="nil"/>
          <w:between w:val="nil"/>
        </w:pBdr>
        <w:spacing w:before="240"/>
        <w:ind w:right="142"/>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 xml:space="preserve">II concessionario è direttamente responsabile verso il concedente e/o eventuali terzi dei danni causati per sua colpa da incendio, perdite d'acqua, fughe di gas ecc. e da ogni altro abuso o trascuratezza nell'uso della cosa concessa. </w:t>
      </w:r>
    </w:p>
    <w:p w14:paraId="17BCF805" w14:textId="77777777" w:rsidR="004719AC" w:rsidRDefault="00000000">
      <w:pPr>
        <w:pBdr>
          <w:top w:val="nil"/>
          <w:left w:val="nil"/>
          <w:bottom w:val="nil"/>
          <w:right w:val="nil"/>
          <w:between w:val="nil"/>
        </w:pBdr>
        <w:spacing w:before="240"/>
        <w:ind w:right="142"/>
        <w:jc w:val="both"/>
        <w:rPr>
          <w:rFonts w:ascii="Aptos Light" w:eastAsia="Aptos Light" w:hAnsi="Aptos Light" w:cs="Aptos Light"/>
          <w:color w:val="000000"/>
          <w:sz w:val="24"/>
          <w:szCs w:val="24"/>
        </w:rPr>
      </w:pPr>
      <w:proofErr w:type="gramStart"/>
      <w:r>
        <w:rPr>
          <w:rFonts w:ascii="Aptos Light" w:eastAsia="Aptos Light" w:hAnsi="Aptos Light" w:cs="Aptos Light"/>
          <w:color w:val="000000"/>
          <w:sz w:val="24"/>
          <w:szCs w:val="24"/>
        </w:rPr>
        <w:t>E’</w:t>
      </w:r>
      <w:proofErr w:type="gramEnd"/>
      <w:r>
        <w:rPr>
          <w:rFonts w:ascii="Aptos Light" w:eastAsia="Aptos Light" w:hAnsi="Aptos Light" w:cs="Aptos Light"/>
          <w:color w:val="000000"/>
          <w:sz w:val="24"/>
          <w:szCs w:val="24"/>
        </w:rPr>
        <w:t xml:space="preserve"> prevista a carico del concessionario la stipula di una polizza assicurativa di responsabilità civile per danni arrecati al concedente o a terzi nello svolgimento dell’attività per un congruo massimale.</w:t>
      </w:r>
    </w:p>
    <w:p w14:paraId="47839A0E" w14:textId="77777777" w:rsidR="004719AC" w:rsidRDefault="00000000">
      <w:pPr>
        <w:pStyle w:val="Titolo1"/>
        <w:spacing w:before="240"/>
        <w:ind w:left="0"/>
        <w:jc w:val="both"/>
        <w:rPr>
          <w:rFonts w:ascii="Aptos Light" w:eastAsia="Aptos Light" w:hAnsi="Aptos Light" w:cs="Aptos Light"/>
        </w:rPr>
      </w:pPr>
      <w:r>
        <w:rPr>
          <w:rFonts w:ascii="Aptos Light" w:eastAsia="Aptos Light" w:hAnsi="Aptos Light" w:cs="Aptos Light"/>
        </w:rPr>
        <w:t>Art. 14 - Riconsegna dell'immobile</w:t>
      </w:r>
    </w:p>
    <w:p w14:paraId="1EB9EB72" w14:textId="77777777" w:rsidR="004719AC" w:rsidRDefault="00000000">
      <w:pPr>
        <w:pBdr>
          <w:top w:val="nil"/>
          <w:left w:val="nil"/>
          <w:bottom w:val="nil"/>
          <w:right w:val="nil"/>
          <w:between w:val="nil"/>
        </w:pBdr>
        <w:spacing w:before="240"/>
        <w:ind w:right="143"/>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II Concessionario deve impegnarsi a riconsegnare l'immobile in buono stato, sia di manutenzione che di pulizia, pena il risarcimento dei danni, il giorno successivo la scadenza della concessione.</w:t>
      </w:r>
    </w:p>
    <w:p w14:paraId="5D8A3E84" w14:textId="77777777" w:rsidR="004719AC" w:rsidRDefault="00000000">
      <w:pPr>
        <w:pStyle w:val="Titolo1"/>
        <w:spacing w:before="240"/>
        <w:ind w:left="0"/>
        <w:jc w:val="both"/>
        <w:rPr>
          <w:rFonts w:ascii="Aptos Light" w:eastAsia="Aptos Light" w:hAnsi="Aptos Light" w:cs="Aptos Light"/>
        </w:rPr>
      </w:pPr>
      <w:r>
        <w:rPr>
          <w:rFonts w:ascii="Aptos Light" w:eastAsia="Aptos Light" w:hAnsi="Aptos Light" w:cs="Aptos Light"/>
        </w:rPr>
        <w:t>Art. 15 - Revoca della concessione</w:t>
      </w:r>
    </w:p>
    <w:p w14:paraId="1B8D4072" w14:textId="77777777" w:rsidR="004719AC" w:rsidRDefault="0093136B">
      <w:pPr>
        <w:pBdr>
          <w:top w:val="nil"/>
          <w:left w:val="nil"/>
          <w:bottom w:val="nil"/>
          <w:right w:val="nil"/>
          <w:between w:val="nil"/>
        </w:pBdr>
        <w:spacing w:before="240"/>
        <w:ind w:right="138"/>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lastRenderedPageBreak/>
        <w:t>L’Ente concedente potrà procedere, con il rispetto del termine di preavviso di sei mesi, alla revoca della concessione per il verificarsi di causa di decadenza soprattutto per i casi di gravi e reiterati inadempimenti contrattuali.</w:t>
      </w:r>
    </w:p>
    <w:p w14:paraId="14EE1DDF" w14:textId="77777777" w:rsidR="004719AC" w:rsidRDefault="00000000">
      <w:pPr>
        <w:pStyle w:val="Titolo1"/>
        <w:spacing w:before="240"/>
        <w:ind w:left="0"/>
        <w:jc w:val="both"/>
        <w:rPr>
          <w:rFonts w:ascii="Aptos Light" w:eastAsia="Aptos Light" w:hAnsi="Aptos Light" w:cs="Aptos Light"/>
        </w:rPr>
      </w:pPr>
      <w:r>
        <w:rPr>
          <w:rFonts w:ascii="Aptos Light" w:eastAsia="Aptos Light" w:hAnsi="Aptos Light" w:cs="Aptos Light"/>
        </w:rPr>
        <w:t>Art. 16 - Tutela dell’Ente e definizione delle controversie</w:t>
      </w:r>
    </w:p>
    <w:p w14:paraId="0DFCC04B" w14:textId="77777777" w:rsidR="004719AC" w:rsidRDefault="00000000">
      <w:pPr>
        <w:pBdr>
          <w:top w:val="nil"/>
          <w:left w:val="nil"/>
          <w:bottom w:val="nil"/>
          <w:right w:val="nil"/>
          <w:between w:val="nil"/>
        </w:pBdr>
        <w:spacing w:before="240"/>
        <w:ind w:right="141"/>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La presente concessione non comporta la cessione o rinuncia dell’Ente concedente ai propri diritti di supremazia, di polizia, di autotutela, di esecuzione coattiva e sanzionatoria, nonché di ogni altra tutela giurisdizionale.</w:t>
      </w:r>
    </w:p>
    <w:p w14:paraId="3469AD47" w14:textId="77777777" w:rsidR="004719AC" w:rsidRDefault="00000000">
      <w:pPr>
        <w:pBdr>
          <w:top w:val="nil"/>
          <w:left w:val="nil"/>
          <w:bottom w:val="nil"/>
          <w:right w:val="nil"/>
          <w:between w:val="nil"/>
        </w:pBdr>
        <w:spacing w:before="240"/>
        <w:jc w:val="both"/>
        <w:rPr>
          <w:rFonts w:ascii="Aptos Light" w:eastAsia="Aptos Light" w:hAnsi="Aptos Light" w:cs="Aptos Light"/>
          <w:color w:val="000000"/>
          <w:sz w:val="24"/>
          <w:szCs w:val="24"/>
        </w:rPr>
      </w:pPr>
      <w:r>
        <w:rPr>
          <w:rFonts w:ascii="Aptos Light" w:eastAsia="Aptos Light" w:hAnsi="Aptos Light" w:cs="Aptos Light"/>
          <w:color w:val="000000"/>
          <w:sz w:val="24"/>
          <w:szCs w:val="24"/>
        </w:rPr>
        <w:t>Per eventuali controversie che dovessero insorgere dall’esecuzione della concessione è competente il Foro di Potenza, rimanendo espressamente esclusa la compromissione in arbitri.</w:t>
      </w:r>
    </w:p>
    <w:p w14:paraId="552940D4" w14:textId="77777777" w:rsidR="004719AC" w:rsidRDefault="004719AC">
      <w:pPr>
        <w:pBdr>
          <w:top w:val="nil"/>
          <w:left w:val="nil"/>
          <w:bottom w:val="nil"/>
          <w:right w:val="nil"/>
          <w:between w:val="nil"/>
        </w:pBdr>
        <w:spacing w:before="240"/>
        <w:jc w:val="both"/>
        <w:rPr>
          <w:rFonts w:ascii="Aptos Light" w:eastAsia="Aptos Light" w:hAnsi="Aptos Light" w:cs="Aptos Light"/>
          <w:color w:val="000000"/>
          <w:sz w:val="24"/>
          <w:szCs w:val="24"/>
        </w:rPr>
      </w:pPr>
    </w:p>
    <w:p w14:paraId="2AA8DC29" w14:textId="77777777" w:rsidR="004719AC" w:rsidRDefault="00000000">
      <w:pPr>
        <w:pBdr>
          <w:top w:val="nil"/>
          <w:left w:val="nil"/>
          <w:bottom w:val="nil"/>
          <w:right w:val="nil"/>
          <w:between w:val="nil"/>
        </w:pBdr>
        <w:spacing w:before="240"/>
        <w:jc w:val="center"/>
        <w:rPr>
          <w:rFonts w:ascii="Aptos Light" w:eastAsia="Aptos Light" w:hAnsi="Aptos Light" w:cs="Aptos Light"/>
          <w:color w:val="000000"/>
          <w:sz w:val="24"/>
          <w:szCs w:val="24"/>
        </w:rPr>
      </w:pPr>
      <w:r>
        <w:rPr>
          <w:rFonts w:ascii="Aptos Light" w:eastAsia="Aptos Light" w:hAnsi="Aptos Light" w:cs="Aptos Light"/>
          <w:b/>
          <w:i/>
          <w:color w:val="000000"/>
          <w:sz w:val="24"/>
          <w:szCs w:val="24"/>
        </w:rPr>
        <w:t>(documento formato, firmato e conservato digitalmente ai sensi del D. Lgs. n. 82/2005 e smi)</w:t>
      </w:r>
    </w:p>
    <w:p w14:paraId="2B12CDE3" w14:textId="77777777" w:rsidR="004719AC" w:rsidRDefault="004719AC">
      <w:pPr>
        <w:pBdr>
          <w:top w:val="nil"/>
          <w:left w:val="nil"/>
          <w:bottom w:val="nil"/>
          <w:right w:val="nil"/>
          <w:between w:val="nil"/>
        </w:pBdr>
        <w:spacing w:before="240"/>
        <w:jc w:val="both"/>
        <w:rPr>
          <w:rFonts w:ascii="Aptos Light" w:eastAsia="Aptos Light" w:hAnsi="Aptos Light" w:cs="Aptos Light"/>
          <w:color w:val="000000"/>
          <w:sz w:val="24"/>
          <w:szCs w:val="24"/>
        </w:rPr>
      </w:pPr>
    </w:p>
    <w:sectPr w:rsidR="004719AC">
      <w:footerReference w:type="default" r:id="rId22"/>
      <w:pgSz w:w="11910" w:h="16840"/>
      <w:pgMar w:top="1320" w:right="992" w:bottom="1200" w:left="992" w:header="0" w:footer="97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81519" w14:textId="77777777" w:rsidR="00094E12" w:rsidRDefault="00094E12">
      <w:r>
        <w:separator/>
      </w:r>
    </w:p>
  </w:endnote>
  <w:endnote w:type="continuationSeparator" w:id="0">
    <w:p w14:paraId="7CF05778" w14:textId="77777777" w:rsidR="00094E12" w:rsidRDefault="00094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4F8A4218-BE43-47AE-8E8F-888A4E459496}"/>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Regular r:id="rId2" w:fontKey="{F112A354-E3DA-4D1A-9CEE-15D57F7B3B13}"/>
    <w:embedItalic r:id="rId3" w:fontKey="{BDFDA169-3426-4491-92C1-72870ACC7667}"/>
  </w:font>
  <w:font w:name="Aptos Light">
    <w:charset w:val="00"/>
    <w:family w:val="swiss"/>
    <w:pitch w:val="variable"/>
    <w:sig w:usb0="20000287" w:usb1="00000003" w:usb2="00000000" w:usb3="00000000" w:csb0="0000019F" w:csb1="00000000"/>
    <w:embedRegular r:id="rId4" w:fontKey="{95C8F4C3-32C3-4C24-A974-A4ADFCF974DF}"/>
    <w:embedBold r:id="rId5" w:fontKey="{871E8B3B-1D71-4A93-981F-92857CF41F26}"/>
    <w:embedBoldItalic r:id="rId6" w:fontKey="{3BCE811D-A3D5-46E0-B520-3510ACD07333}"/>
  </w:font>
  <w:font w:name="Calibri">
    <w:panose1 w:val="020F0502020204030204"/>
    <w:charset w:val="00"/>
    <w:family w:val="swiss"/>
    <w:pitch w:val="variable"/>
    <w:sig w:usb0="E4002EFF" w:usb1="C200247B" w:usb2="00000009" w:usb3="00000000" w:csb0="000001FF" w:csb1="00000000"/>
    <w:embedRegular r:id="rId7" w:fontKey="{600077B9-0EAC-4D1F-BD89-77FE6EF120A6}"/>
  </w:font>
  <w:font w:name="Cambria">
    <w:panose1 w:val="02040503050406030204"/>
    <w:charset w:val="00"/>
    <w:family w:val="roman"/>
    <w:pitch w:val="variable"/>
    <w:sig w:usb0="E00006FF" w:usb1="420024FF" w:usb2="02000000" w:usb3="00000000" w:csb0="0000019F" w:csb1="00000000"/>
    <w:embedRegular r:id="rId8" w:fontKey="{2577AFF2-C4AD-45CB-A2E3-8B76A485362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27126" w14:textId="77777777" w:rsidR="004719AC" w:rsidRDefault="00000000">
    <w:pPr>
      <w:pBdr>
        <w:top w:val="nil"/>
        <w:left w:val="nil"/>
        <w:bottom w:val="nil"/>
        <w:right w:val="nil"/>
        <w:between w:val="nil"/>
      </w:pBdr>
      <w:spacing w:line="14" w:lineRule="auto"/>
      <w:rPr>
        <w:color w:val="000000"/>
        <w:sz w:val="19"/>
        <w:szCs w:val="19"/>
      </w:rPr>
    </w:pPr>
    <w:r>
      <w:rPr>
        <w:noProof/>
      </w:rPr>
      <mc:AlternateContent>
        <mc:Choice Requires="wps">
          <w:drawing>
            <wp:anchor distT="0" distB="0" distL="0" distR="0" simplePos="0" relativeHeight="251658240" behindDoc="1" locked="0" layoutInCell="1" hidden="0" allowOverlap="1" wp14:anchorId="0F1DA5F3" wp14:editId="7F74041C">
              <wp:simplePos x="0" y="0"/>
              <wp:positionH relativeFrom="column">
                <wp:posOffset>3048000</wp:posOffset>
              </wp:positionH>
              <wp:positionV relativeFrom="paragraph">
                <wp:posOffset>9893300</wp:posOffset>
              </wp:positionV>
              <wp:extent cx="226060" cy="184785"/>
              <wp:effectExtent l="0" t="0" r="0" b="0"/>
              <wp:wrapNone/>
              <wp:docPr id="5" name="Rettangolo 5"/>
              <wp:cNvGraphicFramePr/>
              <a:graphic xmlns:a="http://schemas.openxmlformats.org/drawingml/2006/main">
                <a:graphicData uri="http://schemas.microsoft.com/office/word/2010/wordprocessingShape">
                  <wps:wsp>
                    <wps:cNvSpPr/>
                    <wps:spPr>
                      <a:xfrm>
                        <a:off x="5242495" y="3697133"/>
                        <a:ext cx="207010" cy="165735"/>
                      </a:xfrm>
                      <a:prstGeom prst="rect">
                        <a:avLst/>
                      </a:prstGeom>
                      <a:noFill/>
                      <a:ln>
                        <a:noFill/>
                      </a:ln>
                    </wps:spPr>
                    <wps:txbx>
                      <w:txbxContent>
                        <w:p w14:paraId="20CEA627" w14:textId="77777777" w:rsidR="004719AC" w:rsidRDefault="00000000">
                          <w:pPr>
                            <w:spacing w:line="245" w:lineRule="auto"/>
                            <w:ind w:left="20" w:firstLine="40"/>
                            <w:textDirection w:val="btLr"/>
                          </w:pPr>
                          <w:r>
                            <w:rPr>
                              <w:rFonts w:ascii="Calibri" w:eastAsia="Calibri" w:hAnsi="Calibri" w:cs="Calibri"/>
                              <w:color w:val="000000"/>
                            </w:rPr>
                            <w:t>1 PAGE 2</w:t>
                          </w:r>
                        </w:p>
                      </w:txbxContent>
                    </wps:txbx>
                    <wps:bodyPr spcFirstLastPara="1" wrap="square" lIns="0" tIns="0" rIns="0" bIns="0" anchor="t" anchorCtr="0">
                      <a:noAutofit/>
                    </wps:bodyPr>
                  </wps:wsp>
                </a:graphicData>
              </a:graphic>
            </wp:anchor>
          </w:drawing>
        </mc:Choice>
        <mc:Fallback>
          <w:pict>
            <v:rect w14:anchorId="0F1DA5F3" id="Rettangolo 5" o:spid="_x0000_s1026" style="position:absolute;margin-left:240pt;margin-top:779pt;width:17.8pt;height:14.5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" filled="f" stroked="f">
              <v:textbox inset="0,0,0,0">
                <w:txbxContent>
                  <w:p w14:paraId="20CEA627" w14:textId="77777777" w:rsidR="004719AC" w:rsidRDefault="00000000">
                    <w:pPr>
                      <w:spacing w:line="245" w:lineRule="auto"/>
                      <w:ind w:left="20" w:firstLine="40"/>
                      <w:textDirection w:val="btLr"/>
                    </w:pPr>
                    <w:r>
                      <w:rPr>
                        <w:rFonts w:ascii="Calibri" w:eastAsia="Calibri" w:hAnsi="Calibri" w:cs="Calibri"/>
                        <w:color w:val="000000"/>
                      </w:rPr>
                      <w:t>1 PAGE 2</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1168F" w14:textId="77777777" w:rsidR="00094E12" w:rsidRDefault="00094E12">
      <w:r>
        <w:separator/>
      </w:r>
    </w:p>
  </w:footnote>
  <w:footnote w:type="continuationSeparator" w:id="0">
    <w:p w14:paraId="30B04A41" w14:textId="77777777" w:rsidR="00094E12" w:rsidRDefault="00094E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6C42"/>
    <w:multiLevelType w:val="multilevel"/>
    <w:tmpl w:val="D2827B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2311EE3"/>
    <w:multiLevelType w:val="multilevel"/>
    <w:tmpl w:val="6016B6A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79307B9"/>
    <w:multiLevelType w:val="multilevel"/>
    <w:tmpl w:val="E61077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9FF0813"/>
    <w:multiLevelType w:val="multilevel"/>
    <w:tmpl w:val="C7F6DE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A7521A7"/>
    <w:multiLevelType w:val="multilevel"/>
    <w:tmpl w:val="547A671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 w15:restartNumberingAfterBreak="0">
    <w:nsid w:val="1B02626E"/>
    <w:multiLevelType w:val="multilevel"/>
    <w:tmpl w:val="C4C680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FC15931"/>
    <w:multiLevelType w:val="multilevel"/>
    <w:tmpl w:val="07103B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228D2651"/>
    <w:multiLevelType w:val="multilevel"/>
    <w:tmpl w:val="76DC69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4AE4EB3"/>
    <w:multiLevelType w:val="multilevel"/>
    <w:tmpl w:val="D1344640"/>
    <w:lvl w:ilvl="0">
      <w:start w:val="1"/>
      <w:numFmt w:val="decimal"/>
      <w:lvlText w:val="%1."/>
      <w:lvlJc w:val="left"/>
      <w:pPr>
        <w:ind w:left="1002" w:hanging="360"/>
      </w:pPr>
      <w:rPr>
        <w:rFonts w:ascii="Times New Roman" w:eastAsia="Times New Roman" w:hAnsi="Times New Roman" w:cs="Times New Roman"/>
        <w:b w:val="0"/>
        <w:i w:val="0"/>
        <w:sz w:val="24"/>
        <w:szCs w:val="24"/>
      </w:rPr>
    </w:lvl>
    <w:lvl w:ilvl="1">
      <w:numFmt w:val="bullet"/>
      <w:lvlText w:val="•"/>
      <w:lvlJc w:val="left"/>
      <w:pPr>
        <w:ind w:left="1892" w:hanging="360"/>
      </w:pPr>
    </w:lvl>
    <w:lvl w:ilvl="2">
      <w:numFmt w:val="bullet"/>
      <w:lvlText w:val="•"/>
      <w:lvlJc w:val="left"/>
      <w:pPr>
        <w:ind w:left="2784" w:hanging="360"/>
      </w:pPr>
    </w:lvl>
    <w:lvl w:ilvl="3">
      <w:numFmt w:val="bullet"/>
      <w:lvlText w:val="•"/>
      <w:lvlJc w:val="left"/>
      <w:pPr>
        <w:ind w:left="3676" w:hanging="360"/>
      </w:pPr>
    </w:lvl>
    <w:lvl w:ilvl="4">
      <w:numFmt w:val="bullet"/>
      <w:lvlText w:val="•"/>
      <w:lvlJc w:val="left"/>
      <w:pPr>
        <w:ind w:left="4568" w:hanging="360"/>
      </w:pPr>
    </w:lvl>
    <w:lvl w:ilvl="5">
      <w:numFmt w:val="bullet"/>
      <w:lvlText w:val="•"/>
      <w:lvlJc w:val="left"/>
      <w:pPr>
        <w:ind w:left="5461" w:hanging="360"/>
      </w:pPr>
    </w:lvl>
    <w:lvl w:ilvl="6">
      <w:numFmt w:val="bullet"/>
      <w:lvlText w:val="•"/>
      <w:lvlJc w:val="left"/>
      <w:pPr>
        <w:ind w:left="6353" w:hanging="360"/>
      </w:pPr>
    </w:lvl>
    <w:lvl w:ilvl="7">
      <w:numFmt w:val="bullet"/>
      <w:lvlText w:val="•"/>
      <w:lvlJc w:val="left"/>
      <w:pPr>
        <w:ind w:left="7245" w:hanging="360"/>
      </w:pPr>
    </w:lvl>
    <w:lvl w:ilvl="8">
      <w:numFmt w:val="bullet"/>
      <w:lvlText w:val="•"/>
      <w:lvlJc w:val="left"/>
      <w:pPr>
        <w:ind w:left="8137" w:hanging="360"/>
      </w:pPr>
    </w:lvl>
  </w:abstractNum>
  <w:abstractNum w:abstractNumId="9" w15:restartNumberingAfterBreak="0">
    <w:nsid w:val="2C10246D"/>
    <w:multiLevelType w:val="hybridMultilevel"/>
    <w:tmpl w:val="2474BF2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C9041B0"/>
    <w:multiLevelType w:val="multilevel"/>
    <w:tmpl w:val="8F507EC4"/>
    <w:lvl w:ilvl="0">
      <w:start w:val="1"/>
      <w:numFmt w:val="decimal"/>
      <w:lvlText w:val="%1."/>
      <w:lvlJc w:val="left"/>
      <w:pPr>
        <w:ind w:left="849" w:hanging="601"/>
      </w:pPr>
      <w:rPr>
        <w:rFonts w:ascii="Times New Roman" w:eastAsia="Times New Roman" w:hAnsi="Times New Roman" w:cs="Times New Roman"/>
        <w:b w:val="0"/>
        <w:i w:val="0"/>
        <w:sz w:val="24"/>
        <w:szCs w:val="24"/>
      </w:rPr>
    </w:lvl>
    <w:lvl w:ilvl="1">
      <w:numFmt w:val="bullet"/>
      <w:lvlText w:val="o"/>
      <w:lvlJc w:val="left"/>
      <w:pPr>
        <w:ind w:left="248" w:hanging="601"/>
      </w:pPr>
      <w:rPr>
        <w:rFonts w:ascii="Times New Roman" w:eastAsia="Times New Roman" w:hAnsi="Times New Roman" w:cs="Times New Roman"/>
        <w:b w:val="0"/>
        <w:i w:val="0"/>
        <w:sz w:val="24"/>
        <w:szCs w:val="24"/>
      </w:rPr>
    </w:lvl>
    <w:lvl w:ilvl="2">
      <w:numFmt w:val="bullet"/>
      <w:lvlText w:val="●"/>
      <w:lvlJc w:val="left"/>
      <w:pPr>
        <w:ind w:left="957" w:hanging="348"/>
      </w:pPr>
      <w:rPr>
        <w:rFonts w:ascii="Noto Sans Symbols" w:eastAsia="Noto Sans Symbols" w:hAnsi="Noto Sans Symbols" w:cs="Noto Sans Symbols"/>
        <w:b w:val="0"/>
        <w:i w:val="0"/>
        <w:sz w:val="24"/>
        <w:szCs w:val="24"/>
      </w:rPr>
    </w:lvl>
    <w:lvl w:ilvl="3">
      <w:numFmt w:val="bullet"/>
      <w:lvlText w:val="•"/>
      <w:lvlJc w:val="left"/>
      <w:pPr>
        <w:ind w:left="2080" w:hanging="348"/>
      </w:pPr>
    </w:lvl>
    <w:lvl w:ilvl="4">
      <w:numFmt w:val="bullet"/>
      <w:lvlText w:val="•"/>
      <w:lvlJc w:val="left"/>
      <w:pPr>
        <w:ind w:left="3200" w:hanging="348"/>
      </w:pPr>
    </w:lvl>
    <w:lvl w:ilvl="5">
      <w:numFmt w:val="bullet"/>
      <w:lvlText w:val="•"/>
      <w:lvlJc w:val="left"/>
      <w:pPr>
        <w:ind w:left="4320" w:hanging="348"/>
      </w:pPr>
    </w:lvl>
    <w:lvl w:ilvl="6">
      <w:numFmt w:val="bullet"/>
      <w:lvlText w:val="•"/>
      <w:lvlJc w:val="left"/>
      <w:pPr>
        <w:ind w:left="5441" w:hanging="348"/>
      </w:pPr>
    </w:lvl>
    <w:lvl w:ilvl="7">
      <w:numFmt w:val="bullet"/>
      <w:lvlText w:val="•"/>
      <w:lvlJc w:val="left"/>
      <w:pPr>
        <w:ind w:left="6561" w:hanging="347"/>
      </w:pPr>
    </w:lvl>
    <w:lvl w:ilvl="8">
      <w:numFmt w:val="bullet"/>
      <w:lvlText w:val="•"/>
      <w:lvlJc w:val="left"/>
      <w:pPr>
        <w:ind w:left="7681" w:hanging="347"/>
      </w:pPr>
    </w:lvl>
  </w:abstractNum>
  <w:abstractNum w:abstractNumId="11" w15:restartNumberingAfterBreak="0">
    <w:nsid w:val="30A1543D"/>
    <w:multiLevelType w:val="multilevel"/>
    <w:tmpl w:val="BF28D64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32424666"/>
    <w:multiLevelType w:val="multilevel"/>
    <w:tmpl w:val="04B28B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34125F20"/>
    <w:multiLevelType w:val="multilevel"/>
    <w:tmpl w:val="41A4A6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5DE4478"/>
    <w:multiLevelType w:val="multilevel"/>
    <w:tmpl w:val="F5C8A310"/>
    <w:lvl w:ilvl="0">
      <w:numFmt w:val="bullet"/>
      <w:lvlText w:val="-"/>
      <w:lvlJc w:val="left"/>
      <w:pPr>
        <w:ind w:left="140" w:hanging="171"/>
      </w:pPr>
      <w:rPr>
        <w:rFonts w:ascii="Times New Roman" w:eastAsia="Times New Roman" w:hAnsi="Times New Roman" w:cs="Times New Roman"/>
        <w:b w:val="0"/>
        <w:i w:val="0"/>
        <w:sz w:val="24"/>
        <w:szCs w:val="24"/>
      </w:rPr>
    </w:lvl>
    <w:lvl w:ilvl="1">
      <w:numFmt w:val="bullet"/>
      <w:lvlText w:val="•"/>
      <w:lvlJc w:val="left"/>
      <w:pPr>
        <w:ind w:left="1118" w:hanging="171"/>
      </w:pPr>
    </w:lvl>
    <w:lvl w:ilvl="2">
      <w:numFmt w:val="bullet"/>
      <w:lvlText w:val="•"/>
      <w:lvlJc w:val="left"/>
      <w:pPr>
        <w:ind w:left="2096" w:hanging="171"/>
      </w:pPr>
    </w:lvl>
    <w:lvl w:ilvl="3">
      <w:numFmt w:val="bullet"/>
      <w:lvlText w:val="•"/>
      <w:lvlJc w:val="left"/>
      <w:pPr>
        <w:ind w:left="3074" w:hanging="171"/>
      </w:pPr>
    </w:lvl>
    <w:lvl w:ilvl="4">
      <w:numFmt w:val="bullet"/>
      <w:lvlText w:val="•"/>
      <w:lvlJc w:val="left"/>
      <w:pPr>
        <w:ind w:left="4052" w:hanging="171"/>
      </w:pPr>
    </w:lvl>
    <w:lvl w:ilvl="5">
      <w:numFmt w:val="bullet"/>
      <w:lvlText w:val="•"/>
      <w:lvlJc w:val="left"/>
      <w:pPr>
        <w:ind w:left="5031" w:hanging="171"/>
      </w:pPr>
    </w:lvl>
    <w:lvl w:ilvl="6">
      <w:numFmt w:val="bullet"/>
      <w:lvlText w:val="•"/>
      <w:lvlJc w:val="left"/>
      <w:pPr>
        <w:ind w:left="6009" w:hanging="171"/>
      </w:pPr>
    </w:lvl>
    <w:lvl w:ilvl="7">
      <w:numFmt w:val="bullet"/>
      <w:lvlText w:val="•"/>
      <w:lvlJc w:val="left"/>
      <w:pPr>
        <w:ind w:left="6987" w:hanging="171"/>
      </w:pPr>
    </w:lvl>
    <w:lvl w:ilvl="8">
      <w:numFmt w:val="bullet"/>
      <w:lvlText w:val="•"/>
      <w:lvlJc w:val="left"/>
      <w:pPr>
        <w:ind w:left="7965" w:hanging="171"/>
      </w:pPr>
    </w:lvl>
  </w:abstractNum>
  <w:abstractNum w:abstractNumId="15" w15:restartNumberingAfterBreak="0">
    <w:nsid w:val="4CE5336D"/>
    <w:multiLevelType w:val="multilevel"/>
    <w:tmpl w:val="1CC4DB22"/>
    <w:lvl w:ilvl="0">
      <w:start w:val="3"/>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5C614891"/>
    <w:multiLevelType w:val="multilevel"/>
    <w:tmpl w:val="39C00AC0"/>
    <w:lvl w:ilvl="0">
      <w:start w:val="1"/>
      <w:numFmt w:val="lowerLetter"/>
      <w:lvlText w:val="%1)"/>
      <w:lvlJc w:val="left"/>
      <w:pPr>
        <w:ind w:left="1524" w:hanging="1100"/>
      </w:pPr>
      <w:rPr>
        <w:rFonts w:ascii="Times New Roman" w:eastAsia="Times New Roman" w:hAnsi="Times New Roman" w:cs="Times New Roman"/>
        <w:b/>
        <w:i w:val="0"/>
        <w:sz w:val="24"/>
        <w:szCs w:val="24"/>
      </w:rPr>
    </w:lvl>
    <w:lvl w:ilvl="1">
      <w:numFmt w:val="bullet"/>
      <w:lvlText w:val="●"/>
      <w:lvlJc w:val="left"/>
      <w:pPr>
        <w:ind w:left="1145" w:hanging="360"/>
      </w:pPr>
      <w:rPr>
        <w:rFonts w:ascii="Noto Sans Symbols" w:eastAsia="Noto Sans Symbols" w:hAnsi="Noto Sans Symbols" w:cs="Noto Sans Symbols"/>
        <w:b w:val="0"/>
        <w:i w:val="0"/>
        <w:sz w:val="24"/>
        <w:szCs w:val="24"/>
      </w:rPr>
    </w:lvl>
    <w:lvl w:ilvl="2">
      <w:numFmt w:val="bullet"/>
      <w:lvlText w:val="•"/>
      <w:lvlJc w:val="left"/>
      <w:pPr>
        <w:ind w:left="2565" w:hanging="360"/>
      </w:pPr>
    </w:lvl>
    <w:lvl w:ilvl="3">
      <w:numFmt w:val="bullet"/>
      <w:lvlText w:val="•"/>
      <w:lvlJc w:val="left"/>
      <w:pPr>
        <w:ind w:left="3611" w:hanging="360"/>
      </w:pPr>
    </w:lvl>
    <w:lvl w:ilvl="4">
      <w:numFmt w:val="bullet"/>
      <w:lvlText w:val="•"/>
      <w:lvlJc w:val="left"/>
      <w:pPr>
        <w:ind w:left="4656" w:hanging="360"/>
      </w:pPr>
    </w:lvl>
    <w:lvl w:ilvl="5">
      <w:numFmt w:val="bullet"/>
      <w:lvlText w:val="•"/>
      <w:lvlJc w:val="left"/>
      <w:pPr>
        <w:ind w:left="5702" w:hanging="360"/>
      </w:pPr>
    </w:lvl>
    <w:lvl w:ilvl="6">
      <w:numFmt w:val="bullet"/>
      <w:lvlText w:val="•"/>
      <w:lvlJc w:val="left"/>
      <w:pPr>
        <w:ind w:left="6747" w:hanging="360"/>
      </w:pPr>
    </w:lvl>
    <w:lvl w:ilvl="7">
      <w:numFmt w:val="bullet"/>
      <w:lvlText w:val="•"/>
      <w:lvlJc w:val="left"/>
      <w:pPr>
        <w:ind w:left="7793" w:hanging="360"/>
      </w:pPr>
    </w:lvl>
    <w:lvl w:ilvl="8">
      <w:numFmt w:val="bullet"/>
      <w:lvlText w:val="•"/>
      <w:lvlJc w:val="left"/>
      <w:pPr>
        <w:ind w:left="8838" w:hanging="360"/>
      </w:pPr>
    </w:lvl>
  </w:abstractNum>
  <w:abstractNum w:abstractNumId="17" w15:restartNumberingAfterBreak="0">
    <w:nsid w:val="5C7F4618"/>
    <w:multiLevelType w:val="multilevel"/>
    <w:tmpl w:val="B75E20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6926377B"/>
    <w:multiLevelType w:val="multilevel"/>
    <w:tmpl w:val="32CABB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702A4BE4"/>
    <w:multiLevelType w:val="multilevel"/>
    <w:tmpl w:val="5D3E70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679232912">
    <w:abstractNumId w:val="15"/>
  </w:num>
  <w:num w:numId="2" w16cid:durableId="255483285">
    <w:abstractNumId w:val="8"/>
  </w:num>
  <w:num w:numId="3" w16cid:durableId="1532719278">
    <w:abstractNumId w:val="14"/>
  </w:num>
  <w:num w:numId="4" w16cid:durableId="704595796">
    <w:abstractNumId w:val="13"/>
  </w:num>
  <w:num w:numId="5" w16cid:durableId="948850726">
    <w:abstractNumId w:val="10"/>
  </w:num>
  <w:num w:numId="6" w16cid:durableId="2016767014">
    <w:abstractNumId w:val="12"/>
  </w:num>
  <w:num w:numId="7" w16cid:durableId="915437180">
    <w:abstractNumId w:val="18"/>
  </w:num>
  <w:num w:numId="8" w16cid:durableId="1160270019">
    <w:abstractNumId w:val="5"/>
  </w:num>
  <w:num w:numId="9" w16cid:durableId="1128090307">
    <w:abstractNumId w:val="19"/>
  </w:num>
  <w:num w:numId="10" w16cid:durableId="1530265983">
    <w:abstractNumId w:val="2"/>
  </w:num>
  <w:num w:numId="11" w16cid:durableId="1767773691">
    <w:abstractNumId w:val="7"/>
  </w:num>
  <w:num w:numId="12" w16cid:durableId="447894484">
    <w:abstractNumId w:val="11"/>
  </w:num>
  <w:num w:numId="13" w16cid:durableId="835078093">
    <w:abstractNumId w:val="0"/>
  </w:num>
  <w:num w:numId="14" w16cid:durableId="1108424035">
    <w:abstractNumId w:val="1"/>
  </w:num>
  <w:num w:numId="15" w16cid:durableId="1554542442">
    <w:abstractNumId w:val="6"/>
  </w:num>
  <w:num w:numId="16" w16cid:durableId="585311758">
    <w:abstractNumId w:val="3"/>
  </w:num>
  <w:num w:numId="17" w16cid:durableId="152599609">
    <w:abstractNumId w:val="17"/>
  </w:num>
  <w:num w:numId="18" w16cid:durableId="396897222">
    <w:abstractNumId w:val="16"/>
  </w:num>
  <w:num w:numId="19" w16cid:durableId="1695841519">
    <w:abstractNumId w:val="4"/>
  </w:num>
  <w:num w:numId="20" w16cid:durableId="17873832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9AC"/>
    <w:rsid w:val="000755C2"/>
    <w:rsid w:val="00094E12"/>
    <w:rsid w:val="00273B0A"/>
    <w:rsid w:val="00355D72"/>
    <w:rsid w:val="003B2EFD"/>
    <w:rsid w:val="004719AC"/>
    <w:rsid w:val="00485205"/>
    <w:rsid w:val="005444B1"/>
    <w:rsid w:val="005674F3"/>
    <w:rsid w:val="005840AB"/>
    <w:rsid w:val="005B0B89"/>
    <w:rsid w:val="00736616"/>
    <w:rsid w:val="00766DA1"/>
    <w:rsid w:val="00773E52"/>
    <w:rsid w:val="00781E87"/>
    <w:rsid w:val="008B3811"/>
    <w:rsid w:val="0093136B"/>
    <w:rsid w:val="009A7FE7"/>
    <w:rsid w:val="00AA320E"/>
    <w:rsid w:val="00BC4BD1"/>
    <w:rsid w:val="00C707B3"/>
    <w:rsid w:val="00CB7A64"/>
    <w:rsid w:val="00D7196D"/>
    <w:rsid w:val="00D86A59"/>
    <w:rsid w:val="00DE0B49"/>
    <w:rsid w:val="00ED4BB9"/>
    <w:rsid w:val="00F9382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83CF6"/>
  <w15:docId w15:val="{543BF9AD-D3C4-4C1E-8FFD-0103A48BF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it" w:eastAsia="it-IT"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spacing w:before="163"/>
      <w:ind w:left="140"/>
      <w:outlineLvl w:val="0"/>
    </w:pPr>
    <w:rPr>
      <w:b/>
      <w:sz w:val="24"/>
      <w:szCs w:val="24"/>
    </w:rPr>
  </w:style>
  <w:style w:type="paragraph" w:styleId="Titolo2">
    <w:name w:val="heading 2"/>
    <w:basedOn w:val="Normale"/>
    <w:next w:val="Normale"/>
    <w:uiPriority w:val="9"/>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uiPriority w:val="1"/>
    <w:qFormat/>
    <w:pPr>
      <w:ind w:left="248"/>
      <w:jc w:val="both"/>
    </w:pPr>
    <w:rPr>
      <w:sz w:val="24"/>
      <w:szCs w:val="24"/>
    </w:rPr>
  </w:style>
  <w:style w:type="paragraph" w:styleId="Paragrafoelenco">
    <w:name w:val="List Paragraph"/>
    <w:uiPriority w:val="1"/>
    <w:qFormat/>
    <w:pPr>
      <w:ind w:left="248"/>
    </w:pPr>
  </w:style>
  <w:style w:type="paragraph" w:customStyle="1" w:styleId="TableParagraph">
    <w:name w:val="Table Paragraph"/>
    <w:uiPriority w:val="1"/>
    <w:qFormat/>
  </w:style>
  <w:style w:type="character" w:styleId="Collegamentoipertestuale">
    <w:name w:val="Hyperlink"/>
    <w:basedOn w:val="Carpredefinitoparagrafo"/>
    <w:uiPriority w:val="99"/>
    <w:unhideWhenUsed/>
    <w:rsid w:val="00CE1B23"/>
    <w:rPr>
      <w:color w:val="0000FF" w:themeColor="hyperlink"/>
      <w:u w:val="single"/>
    </w:rPr>
  </w:style>
  <w:style w:type="paragraph" w:styleId="Intestazione">
    <w:name w:val="header"/>
    <w:link w:val="IntestazioneCarattere"/>
    <w:uiPriority w:val="99"/>
    <w:unhideWhenUsed/>
    <w:rsid w:val="00CE1B23"/>
    <w:pPr>
      <w:tabs>
        <w:tab w:val="center" w:pos="4819"/>
        <w:tab w:val="right" w:pos="9638"/>
      </w:tabs>
      <w:autoSpaceDE w:val="0"/>
      <w:autoSpaceDN w:val="0"/>
    </w:pPr>
    <w:rPr>
      <w:lang w:val="it-IT" w:eastAsia="en-US"/>
    </w:rPr>
  </w:style>
  <w:style w:type="character" w:customStyle="1" w:styleId="IntestazioneCarattere">
    <w:name w:val="Intestazione Carattere"/>
    <w:basedOn w:val="Carpredefinitoparagrafo"/>
    <w:link w:val="Intestazione"/>
    <w:uiPriority w:val="99"/>
    <w:rsid w:val="00CE1B23"/>
    <w:rPr>
      <w:lang w:val="it-IT" w:eastAsia="en-US"/>
    </w:rPr>
  </w:style>
  <w:style w:type="paragraph" w:styleId="Pidipagina">
    <w:name w:val="footer"/>
    <w:link w:val="PidipaginaCarattere"/>
    <w:uiPriority w:val="99"/>
    <w:unhideWhenUsed/>
    <w:rsid w:val="00CE1B23"/>
    <w:pPr>
      <w:tabs>
        <w:tab w:val="center" w:pos="4819"/>
        <w:tab w:val="right" w:pos="9638"/>
      </w:tabs>
      <w:autoSpaceDE w:val="0"/>
      <w:autoSpaceDN w:val="0"/>
    </w:pPr>
    <w:rPr>
      <w:lang w:val="it-IT" w:eastAsia="en-US"/>
    </w:rPr>
  </w:style>
  <w:style w:type="character" w:customStyle="1" w:styleId="PidipaginaCarattere">
    <w:name w:val="Piè di pagina Carattere"/>
    <w:basedOn w:val="Carpredefinitoparagrafo"/>
    <w:link w:val="Pidipagina"/>
    <w:uiPriority w:val="99"/>
    <w:rsid w:val="00CE1B23"/>
    <w:rPr>
      <w:lang w:val="it-IT" w:eastAsia="en-US"/>
    </w:rPr>
  </w:style>
  <w:style w:type="character" w:styleId="Menzionenonrisolta">
    <w:name w:val="Unresolved Mention"/>
    <w:basedOn w:val="Carpredefinitoparagrafo"/>
    <w:uiPriority w:val="99"/>
    <w:semiHidden/>
    <w:unhideWhenUsed/>
    <w:rsid w:val="00CE1B23"/>
    <w:rPr>
      <w:color w:val="605E5C"/>
      <w:shd w:val="clear" w:color="auto" w:fill="E1DFDD"/>
    </w:rPr>
  </w:style>
  <w:style w:type="paragraph" w:styleId="NormaleWeb">
    <w:name w:val="Normal (Web)"/>
    <w:uiPriority w:val="99"/>
    <w:semiHidden/>
    <w:unhideWhenUsed/>
    <w:rsid w:val="00CE1B23"/>
    <w:pPr>
      <w:autoSpaceDE w:val="0"/>
      <w:autoSpaceDN w:val="0"/>
    </w:pPr>
    <w:rPr>
      <w:sz w:val="24"/>
      <w:szCs w:val="24"/>
      <w:lang w:val="it-IT" w:eastAsia="en-US"/>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ormattiva.it/uri-res/N2Ls?urn%3Anir%3Astato%3Adecreto.legge%3A2018-12-14%3B135~art8ter-com1" TargetMode="External"/><Relationship Id="rId18" Type="http://schemas.openxmlformats.org/officeDocument/2006/relationships/hyperlink" Target="https://www.normattiva.it/uri-res/N2Ls?urn%3Anir%3Astato%3Adecreto.legislativo%3A2011-09-06%3B159" TargetMode="External"/><Relationship Id="rId3" Type="http://schemas.openxmlformats.org/officeDocument/2006/relationships/styles" Target="styles.xml"/><Relationship Id="rId21" Type="http://schemas.openxmlformats.org/officeDocument/2006/relationships/hyperlink" Target="https://www.bosettiegatti.eu/info/norme/statali/2023_0036.htm" TargetMode="External"/><Relationship Id="rId7" Type="http://schemas.openxmlformats.org/officeDocument/2006/relationships/endnotes" Target="endnotes.xml"/><Relationship Id="rId12" Type="http://schemas.openxmlformats.org/officeDocument/2006/relationships/hyperlink" Target="https://www.normattiva.it/uri-res/N2Ls?urn%3Anir%3Astato%3Adecreto.legge%3A2018-12-14%3B135~art8ter-com1" TargetMode="External"/><Relationship Id="rId17" Type="http://schemas.openxmlformats.org/officeDocument/2006/relationships/hyperlink" Target="https://www.normattiva.it/uri-res/N2Ls?urn%3Anir%3Astato%3Acodice.civile%3A1942-03-16%3B262~art1957-com2" TargetMode="External"/><Relationship Id="rId2" Type="http://schemas.openxmlformats.org/officeDocument/2006/relationships/numbering" Target="numbering.xml"/><Relationship Id="rId16" Type="http://schemas.openxmlformats.org/officeDocument/2006/relationships/hyperlink" Target="https://www.normattiva.it/uri-res/N2Ls?urn%3Anir%3Astato%3Alegge%3A2019-02-11%3B12" TargetMode="External"/><Relationship Id="rId20" Type="http://schemas.openxmlformats.org/officeDocument/2006/relationships/hyperlink" Target="https://www.normattiva.it/uri-res/N2Ls?urn%3Anir%3Astato%3Acodice.civile%3A1942-03-16%3B262~art1957-com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rmattiva.it/uri-res/N2Ls?urn%3Anir%3Astato%3Adecreto.legge%3A2018-12-14%3B135~art8ter-com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ormattiva.it/uri-res/N2Ls?urn%3Anir%3Astato%3Alegge%3A2019-02-11%3B12" TargetMode="External"/><Relationship Id="rId23" Type="http://schemas.openxmlformats.org/officeDocument/2006/relationships/fontTable" Target="fontTable.xml"/><Relationship Id="rId10" Type="http://schemas.openxmlformats.org/officeDocument/2006/relationships/hyperlink" Target="https://www.normattiva.it/uri-res/N2Ls?urn%3Anir%3Astato%3Adecreto.legislativo%3A1993-09-01%3B385" TargetMode="External"/><Relationship Id="rId19" Type="http://schemas.openxmlformats.org/officeDocument/2006/relationships/hyperlink" Target="https://www.normattiva.it/uri-res/N2Ls?urn%3Anir%3Astato%3Acodice.civile%3A1942-03-16%3B262~art1957-com2" TargetMode="External"/><Relationship Id="rId4" Type="http://schemas.openxmlformats.org/officeDocument/2006/relationships/settings" Target="settings.xml"/><Relationship Id="rId9" Type="http://schemas.openxmlformats.org/officeDocument/2006/relationships/hyperlink" Target="https://www.normattiva.it/uri-res/N2Ls?urn%3Anir%3Astato%3Adecreto.legislativo%3A1993-09-01%3B385" TargetMode="External"/><Relationship Id="rId14" Type="http://schemas.openxmlformats.org/officeDocument/2006/relationships/hyperlink" Target="https://www.normattiva.it/uri-res/N2Ls?urn%3Anir%3Astato%3Adecreto.legge%3A2018-12-14%3B135~art8ter-com1"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oZUI8ci/c22h60Po12+2DYKDPw==">CgMxLjA4AHIhMTBoTHdiTzc1MFNOaWQzanl4X180UG9OTnh3dFlob0Jw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5427</Words>
  <Characters>30940</Characters>
  <Application>Microsoft Office Word</Application>
  <DocSecurity>0</DocSecurity>
  <Lines>257</Lines>
  <Paragraphs>72</Paragraphs>
  <ScaleCrop>false</ScaleCrop>
  <Company/>
  <LinksUpToDate>false</LinksUpToDate>
  <CharactersWithSpaces>36295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ROCCO PERRIELLO</cp:lastModifiedBy>
  <cp:revision>2</cp:revision>
  <dcterms:created xsi:type="dcterms:W3CDTF">2026-03-27T09:53:00Z</dcterms:created>
  <dcterms:modified xsi:type="dcterms:W3CDTF">2026-03-27T09:53:00Z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2025-04-14T00:00:00Z</vt:filetime>
  </property>
  <property fmtid="{D5CDD505-2E9C-101B-9397-08002B2CF9AE}" pid="3" name="Creator">
    <vt:lpwstr>Microsoft® Word 2016</vt:lpwstr>
  </property>
  <property fmtid="{D5CDD505-2E9C-101B-9397-08002B2CF9AE}" pid="4" name="LastSaved">
    <vt:filetime>2025-08-03T00:00:00Z</vt:filetime>
  </property>
  <property fmtid="{D5CDD505-2E9C-101B-9397-08002B2CF9AE}" pid="5" name="Producer">
    <vt:lpwstr>Microsoft® Word 2016</vt:lpwstr>
  </property>
</Properties>
</file>